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F6" w:rsidRDefault="00084DF6">
      <w:pPr>
        <w:pStyle w:val="BodyText"/>
        <w:spacing w:before="6"/>
        <w:rPr>
          <w:rFonts w:ascii="Times New Roman"/>
          <w:sz w:val="3"/>
        </w:rPr>
      </w:pPr>
      <w:bookmarkStart w:id="0" w:name="_GoBack"/>
      <w:bookmarkEnd w:id="0"/>
    </w:p>
    <w:p w:rsidR="00084DF6" w:rsidRDefault="006B0111">
      <w:pPr>
        <w:pStyle w:val="BodyText"/>
        <w:ind w:left="5557"/>
        <w:rPr>
          <w:rFonts w:ascii="Times New Roman"/>
          <w:sz w:val="20"/>
        </w:rPr>
      </w:pPr>
      <w:r w:rsidRPr="007F1DF1">
        <w:rPr>
          <w:rFonts w:ascii="Calibri" w:eastAsia="Calibri" w:hAnsi="Calibri" w:cs="Calibri"/>
          <w:noProof/>
          <w:sz w:val="22"/>
          <w:szCs w:val="22"/>
          <w:lang w:val="en-GB" w:eastAsia="en-GB" w:bidi="ar-SA"/>
        </w:rPr>
        <w:drawing>
          <wp:inline distT="0" distB="0" distL="0" distR="0" wp14:anchorId="072FB614" wp14:editId="4C68CFC4">
            <wp:extent cx="2762250" cy="719256"/>
            <wp:effectExtent l="0" t="0" r="0" b="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09562" cy="731575"/>
                    </a:xfrm>
                    <a:prstGeom prst="rect">
                      <a:avLst/>
                    </a:prstGeom>
                    <a:noFill/>
                    <a:ln>
                      <a:noFill/>
                    </a:ln>
                  </pic:spPr>
                </pic:pic>
              </a:graphicData>
            </a:graphic>
          </wp:inline>
        </w:drawing>
      </w:r>
    </w:p>
    <w:p w:rsidR="00084DF6" w:rsidRDefault="00084DF6">
      <w:pPr>
        <w:pStyle w:val="BodyText"/>
        <w:rPr>
          <w:rFonts w:ascii="Times New Roman"/>
          <w:sz w:val="20"/>
        </w:rPr>
      </w:pPr>
    </w:p>
    <w:p w:rsidR="00084DF6" w:rsidRDefault="00084DF6">
      <w:pPr>
        <w:pStyle w:val="BodyText"/>
        <w:rPr>
          <w:rFonts w:ascii="Times New Roman"/>
          <w:sz w:val="20"/>
        </w:rPr>
      </w:pPr>
    </w:p>
    <w:p w:rsidR="00084DF6" w:rsidRDefault="00084DF6">
      <w:pPr>
        <w:pStyle w:val="BodyText"/>
        <w:rPr>
          <w:rFonts w:ascii="Times New Roman"/>
          <w:sz w:val="20"/>
        </w:rPr>
      </w:pPr>
    </w:p>
    <w:p w:rsidR="00084DF6" w:rsidRDefault="00084DF6">
      <w:pPr>
        <w:pStyle w:val="BodyText"/>
        <w:rPr>
          <w:rFonts w:ascii="Times New Roman"/>
          <w:sz w:val="20"/>
        </w:rPr>
      </w:pPr>
    </w:p>
    <w:p w:rsidR="00084DF6" w:rsidRDefault="00EF0CD6">
      <w:pPr>
        <w:pStyle w:val="Heading1"/>
        <w:spacing w:before="92"/>
      </w:pPr>
      <w:r>
        <w:t>LICENSING ACT 2003</w:t>
      </w:r>
    </w:p>
    <w:p w:rsidR="00084DF6" w:rsidRDefault="00084DF6">
      <w:pPr>
        <w:pStyle w:val="BodyText"/>
        <w:spacing w:before="1"/>
        <w:rPr>
          <w:b/>
          <w:sz w:val="21"/>
        </w:rPr>
      </w:pPr>
    </w:p>
    <w:p w:rsidR="00084DF6" w:rsidRDefault="00EF0CD6">
      <w:pPr>
        <w:ind w:left="119"/>
        <w:rPr>
          <w:b/>
          <w:sz w:val="24"/>
        </w:rPr>
      </w:pPr>
      <w:r>
        <w:rPr>
          <w:b/>
          <w:sz w:val="24"/>
        </w:rPr>
        <w:t>Representations</w:t>
      </w:r>
    </w:p>
    <w:p w:rsidR="00084DF6" w:rsidRDefault="00084DF6">
      <w:pPr>
        <w:pStyle w:val="BodyText"/>
        <w:spacing w:before="10"/>
        <w:rPr>
          <w:b/>
          <w:sz w:val="20"/>
        </w:rPr>
      </w:pPr>
    </w:p>
    <w:p w:rsidR="00084DF6" w:rsidRDefault="00EF0CD6">
      <w:pPr>
        <w:pStyle w:val="BodyText"/>
        <w:spacing w:line="276" w:lineRule="auto"/>
        <w:ind w:left="119" w:right="494"/>
        <w:jc w:val="both"/>
      </w:pPr>
      <w:r>
        <w:t xml:space="preserve">Under the Licensing Act 2003 objections can be raised against an application for a new premises licence or a variation of an existing licence.  The term used </w:t>
      </w:r>
      <w:r w:rsidR="006B0111">
        <w:t>in the</w:t>
      </w:r>
      <w:r>
        <w:t xml:space="preserve"> 2003 Act, regulations, and associated guidance is ‘relevant</w:t>
      </w:r>
      <w:r>
        <w:rPr>
          <w:spacing w:val="-11"/>
        </w:rPr>
        <w:t xml:space="preserve"> </w:t>
      </w:r>
      <w:r>
        <w:t>representations’.</w:t>
      </w:r>
    </w:p>
    <w:p w:rsidR="00084DF6" w:rsidRDefault="00EF0CD6">
      <w:pPr>
        <w:pStyle w:val="BodyText"/>
        <w:spacing w:before="200" w:line="276" w:lineRule="auto"/>
        <w:ind w:left="119" w:right="495"/>
        <w:jc w:val="both"/>
      </w:pPr>
      <w:r>
        <w:t>In brief ‘relevant representations’ is an expression used in the Act for comments, including objections on applications. For a representation to be relevant it must relate to the effect of the grant of the licence on the promotion of one or more of the four licensing objectives:</w:t>
      </w:r>
    </w:p>
    <w:p w:rsidR="00084DF6" w:rsidRDefault="00EF0CD6">
      <w:pPr>
        <w:pStyle w:val="ListParagraph"/>
        <w:numPr>
          <w:ilvl w:val="0"/>
          <w:numId w:val="1"/>
        </w:numPr>
        <w:tabs>
          <w:tab w:val="left" w:pos="907"/>
          <w:tab w:val="left" w:pos="908"/>
        </w:tabs>
        <w:spacing w:before="202"/>
        <w:ind w:hanging="789"/>
        <w:rPr>
          <w:sz w:val="24"/>
        </w:rPr>
      </w:pPr>
      <w:r>
        <w:rPr>
          <w:sz w:val="24"/>
        </w:rPr>
        <w:t>The prevention of crime and</w:t>
      </w:r>
      <w:r>
        <w:rPr>
          <w:spacing w:val="4"/>
          <w:sz w:val="24"/>
        </w:rPr>
        <w:t xml:space="preserve"> </w:t>
      </w:r>
      <w:r>
        <w:rPr>
          <w:sz w:val="24"/>
        </w:rPr>
        <w:t>disorder</w:t>
      </w:r>
    </w:p>
    <w:p w:rsidR="00084DF6" w:rsidRDefault="00084DF6">
      <w:pPr>
        <w:pStyle w:val="BodyText"/>
        <w:spacing w:before="10"/>
        <w:rPr>
          <w:sz w:val="20"/>
        </w:rPr>
      </w:pPr>
    </w:p>
    <w:p w:rsidR="00084DF6" w:rsidRDefault="00EF0CD6">
      <w:pPr>
        <w:pStyle w:val="ListParagraph"/>
        <w:numPr>
          <w:ilvl w:val="0"/>
          <w:numId w:val="1"/>
        </w:numPr>
        <w:tabs>
          <w:tab w:val="left" w:pos="907"/>
          <w:tab w:val="left" w:pos="908"/>
        </w:tabs>
        <w:ind w:hanging="789"/>
        <w:rPr>
          <w:sz w:val="24"/>
        </w:rPr>
      </w:pPr>
      <w:r>
        <w:rPr>
          <w:sz w:val="24"/>
        </w:rPr>
        <w:t>Public</w:t>
      </w:r>
      <w:r>
        <w:rPr>
          <w:spacing w:val="-1"/>
          <w:sz w:val="24"/>
        </w:rPr>
        <w:t xml:space="preserve"> </w:t>
      </w:r>
      <w:r>
        <w:rPr>
          <w:sz w:val="24"/>
        </w:rPr>
        <w:t>safety</w:t>
      </w:r>
    </w:p>
    <w:p w:rsidR="00084DF6" w:rsidRDefault="00084DF6">
      <w:pPr>
        <w:pStyle w:val="BodyText"/>
        <w:rPr>
          <w:sz w:val="21"/>
        </w:rPr>
      </w:pPr>
    </w:p>
    <w:p w:rsidR="00084DF6" w:rsidRDefault="00EF0CD6">
      <w:pPr>
        <w:pStyle w:val="ListParagraph"/>
        <w:numPr>
          <w:ilvl w:val="0"/>
          <w:numId w:val="1"/>
        </w:numPr>
        <w:tabs>
          <w:tab w:val="left" w:pos="907"/>
          <w:tab w:val="left" w:pos="908"/>
        </w:tabs>
        <w:spacing w:before="1"/>
        <w:ind w:hanging="789"/>
        <w:rPr>
          <w:sz w:val="24"/>
        </w:rPr>
      </w:pPr>
      <w:r>
        <w:rPr>
          <w:sz w:val="24"/>
        </w:rPr>
        <w:t>The prevention of public</w:t>
      </w:r>
      <w:r>
        <w:rPr>
          <w:spacing w:val="2"/>
          <w:sz w:val="24"/>
        </w:rPr>
        <w:t xml:space="preserve"> </w:t>
      </w:r>
      <w:r>
        <w:rPr>
          <w:sz w:val="24"/>
        </w:rPr>
        <w:t>nuisance</w:t>
      </w:r>
    </w:p>
    <w:p w:rsidR="00084DF6" w:rsidRDefault="00084DF6">
      <w:pPr>
        <w:pStyle w:val="BodyText"/>
        <w:spacing w:before="10"/>
        <w:rPr>
          <w:sz w:val="20"/>
        </w:rPr>
      </w:pPr>
    </w:p>
    <w:p w:rsidR="00084DF6" w:rsidRDefault="00EF0CD6">
      <w:pPr>
        <w:pStyle w:val="ListParagraph"/>
        <w:numPr>
          <w:ilvl w:val="0"/>
          <w:numId w:val="1"/>
        </w:numPr>
        <w:tabs>
          <w:tab w:val="left" w:pos="907"/>
          <w:tab w:val="left" w:pos="908"/>
        </w:tabs>
        <w:ind w:hanging="789"/>
        <w:rPr>
          <w:sz w:val="24"/>
        </w:rPr>
      </w:pPr>
      <w:r>
        <w:rPr>
          <w:sz w:val="24"/>
        </w:rPr>
        <w:t>The protection of children from</w:t>
      </w:r>
      <w:r>
        <w:rPr>
          <w:spacing w:val="3"/>
          <w:sz w:val="24"/>
        </w:rPr>
        <w:t xml:space="preserve"> </w:t>
      </w:r>
      <w:r>
        <w:rPr>
          <w:sz w:val="24"/>
        </w:rPr>
        <w:t>harm</w:t>
      </w:r>
    </w:p>
    <w:p w:rsidR="00084DF6" w:rsidRDefault="00084DF6">
      <w:pPr>
        <w:pStyle w:val="BodyText"/>
        <w:rPr>
          <w:sz w:val="21"/>
        </w:rPr>
      </w:pPr>
    </w:p>
    <w:p w:rsidR="00084DF6" w:rsidRDefault="00EF0CD6">
      <w:pPr>
        <w:pStyle w:val="BodyText"/>
        <w:spacing w:before="1" w:line="276" w:lineRule="auto"/>
        <w:ind w:left="119" w:right="492"/>
        <w:jc w:val="both"/>
      </w:pPr>
      <w:r>
        <w:t xml:space="preserve">The key documents upon which Local Authorities rely is the Guidance issued under </w:t>
      </w:r>
      <w:hyperlink r:id="rId9" w:history="1">
        <w:r w:rsidRPr="006B0111">
          <w:rPr>
            <w:rStyle w:val="Hyperlink"/>
          </w:rPr>
          <w:t>section 182 of the Licensing Act 2003</w:t>
        </w:r>
      </w:hyperlink>
      <w:r>
        <w:t xml:space="preserve"> published by the Home Office and the Council’s own </w:t>
      </w:r>
      <w:hyperlink r:id="rId10" w:history="1">
        <w:r w:rsidRPr="006B0111">
          <w:rPr>
            <w:rStyle w:val="Hyperlink"/>
          </w:rPr>
          <w:t>Statement of Licensing Policy</w:t>
        </w:r>
      </w:hyperlink>
      <w:r>
        <w:t xml:space="preserve">. </w:t>
      </w:r>
    </w:p>
    <w:p w:rsidR="00084DF6" w:rsidRDefault="00EF0CD6">
      <w:pPr>
        <w:pStyle w:val="Heading1"/>
        <w:spacing w:before="198"/>
      </w:pPr>
      <w:r>
        <w:t>Making a relevant representation</w:t>
      </w:r>
    </w:p>
    <w:p w:rsidR="00084DF6" w:rsidRDefault="00084DF6">
      <w:pPr>
        <w:pStyle w:val="BodyText"/>
        <w:spacing w:before="1"/>
        <w:rPr>
          <w:b/>
          <w:sz w:val="21"/>
        </w:rPr>
      </w:pPr>
    </w:p>
    <w:p w:rsidR="00084DF6" w:rsidRDefault="00EF0CD6">
      <w:pPr>
        <w:pStyle w:val="BodyText"/>
        <w:spacing w:line="276" w:lineRule="auto"/>
        <w:ind w:left="119" w:right="494"/>
        <w:jc w:val="both"/>
      </w:pPr>
      <w:r>
        <w:t>Any persons and responsible authorities can make representations to the licensing authority, if they wish to do so. Representations must be made in  writing to Licensing at West Berkshire Council, Culture and Environmental Protection, Environmental Health &amp; Licensing, Council Offices, Market Street, Newbury, Berkshire RG14 5LD or by email to</w:t>
      </w:r>
      <w:r>
        <w:rPr>
          <w:spacing w:val="-9"/>
        </w:rPr>
        <w:t xml:space="preserve"> </w:t>
      </w:r>
      <w:hyperlink r:id="rId11">
        <w:r>
          <w:rPr>
            <w:color w:val="0000FF"/>
            <w:u w:val="single" w:color="0000FF"/>
          </w:rPr>
          <w:t>licensing@westberks.gov.uk</w:t>
        </w:r>
      </w:hyperlink>
    </w:p>
    <w:p w:rsidR="00084DF6" w:rsidRDefault="00EF0CD6" w:rsidP="006B0111">
      <w:pPr>
        <w:pStyle w:val="BodyText"/>
        <w:spacing w:before="199" w:line="276" w:lineRule="auto"/>
        <w:ind w:left="120" w:right="495"/>
        <w:jc w:val="both"/>
      </w:pPr>
      <w:r>
        <w:t xml:space="preserve">Your representations must reach us within the 28 day statutory consultation period. If you are unsure when the end date for consultation is, you can </w:t>
      </w:r>
      <w:r w:rsidR="006B0111">
        <w:t>check on</w:t>
      </w:r>
      <w:r>
        <w:t xml:space="preserve"> the Council’s website for a list of current applications for Premises</w:t>
      </w:r>
      <w:r w:rsidR="006B0111">
        <w:t xml:space="preserve"> Licences </w:t>
      </w:r>
      <w:hyperlink r:id="rId12" w:history="1">
        <w:r w:rsidR="006B0111" w:rsidRPr="00E34F46">
          <w:rPr>
            <w:rStyle w:val="Hyperlink"/>
          </w:rPr>
          <w:t>https://publicprotectionpartnership.org.uk/licensing/alcohol-and-entertainment/premises-licence/licensing-applications/</w:t>
        </w:r>
      </w:hyperlink>
    </w:p>
    <w:p w:rsidR="006B0111" w:rsidRDefault="006B0111" w:rsidP="006B0111">
      <w:pPr>
        <w:pStyle w:val="BodyText"/>
        <w:spacing w:before="199" w:line="276" w:lineRule="auto"/>
        <w:ind w:left="120" w:right="495"/>
      </w:pPr>
    </w:p>
    <w:p w:rsidR="006B0111" w:rsidRDefault="006B0111" w:rsidP="006B0111">
      <w:pPr>
        <w:pStyle w:val="BodyText"/>
        <w:spacing w:before="199" w:line="276" w:lineRule="auto"/>
        <w:ind w:left="120" w:right="495"/>
        <w:jc w:val="both"/>
      </w:pPr>
    </w:p>
    <w:p w:rsidR="00084DF6" w:rsidRDefault="00EF0CD6">
      <w:pPr>
        <w:pStyle w:val="BodyText"/>
        <w:spacing w:before="78" w:line="276" w:lineRule="auto"/>
        <w:ind w:left="119" w:right="494"/>
        <w:jc w:val="both"/>
      </w:pPr>
      <w:r>
        <w:t xml:space="preserve">Your representation must relate to the premises which is the subject of the application and the Licensing Objectives. If your representation does not </w:t>
      </w:r>
      <w:r w:rsidR="006B0111">
        <w:t>relate to</w:t>
      </w:r>
      <w:r>
        <w:t xml:space="preserve"> one or more of the Objectives and does not relate to the premises or application in question, it will be invalid and</w:t>
      </w:r>
      <w:r>
        <w:rPr>
          <w:spacing w:val="1"/>
        </w:rPr>
        <w:t xml:space="preserve"> </w:t>
      </w:r>
      <w:r>
        <w:t>rejected.</w:t>
      </w:r>
    </w:p>
    <w:p w:rsidR="00084DF6" w:rsidRDefault="00EF0CD6">
      <w:pPr>
        <w:pStyle w:val="BodyText"/>
        <w:spacing w:before="199" w:line="276" w:lineRule="auto"/>
        <w:ind w:left="119" w:right="495"/>
        <w:jc w:val="both"/>
      </w:pPr>
      <w:r>
        <w:t>Your representation must also be based on evidence or your experience and not on fear or speculation. Representations which are considered to be frivolous, vexatious or relating to competition from other businesses will not be considered.</w:t>
      </w:r>
    </w:p>
    <w:p w:rsidR="00084DF6" w:rsidRDefault="00EF0CD6">
      <w:pPr>
        <w:pStyle w:val="Heading1"/>
        <w:spacing w:before="200"/>
      </w:pPr>
      <w:r>
        <w:t>What happens next?</w:t>
      </w:r>
    </w:p>
    <w:p w:rsidR="00084DF6" w:rsidRDefault="00084DF6">
      <w:pPr>
        <w:pStyle w:val="BodyText"/>
        <w:spacing w:before="1"/>
        <w:rPr>
          <w:b/>
          <w:sz w:val="21"/>
        </w:rPr>
      </w:pPr>
    </w:p>
    <w:p w:rsidR="00084DF6" w:rsidRDefault="00EF0CD6">
      <w:pPr>
        <w:pStyle w:val="BodyText"/>
        <w:spacing w:line="276" w:lineRule="auto"/>
        <w:ind w:left="119" w:right="495"/>
        <w:jc w:val="both"/>
      </w:pPr>
      <w:r>
        <w:t xml:space="preserve">If your representation is deemed to be relevant a copy will be sent to the applicant. The applicant may offer to change their application to try to </w:t>
      </w:r>
      <w:r w:rsidR="006B0111">
        <w:t>satisfy your</w:t>
      </w:r>
      <w:r>
        <w:rPr>
          <w:spacing w:val="-1"/>
        </w:rPr>
        <w:t xml:space="preserve"> </w:t>
      </w:r>
      <w:r>
        <w:t>concerns.</w:t>
      </w:r>
    </w:p>
    <w:p w:rsidR="00084DF6" w:rsidRDefault="00EF0CD6">
      <w:pPr>
        <w:pStyle w:val="BodyText"/>
        <w:spacing w:before="200" w:line="276" w:lineRule="auto"/>
        <w:ind w:left="119" w:right="495"/>
        <w:jc w:val="both"/>
      </w:pPr>
      <w:r>
        <w:t>If your concerns cannot be alleviated and you choose not to withdraw your representation, the application will be determined at a meeting of the Council’s Licensing Sub-Committee and your representation and personal details will form part of the report and recorded decision, which are all public documents.</w:t>
      </w:r>
    </w:p>
    <w:p w:rsidR="00084DF6" w:rsidRDefault="00EF0CD6">
      <w:pPr>
        <w:pStyle w:val="Heading1"/>
        <w:spacing w:before="199"/>
      </w:pPr>
      <w:r>
        <w:t>The Hearing</w:t>
      </w:r>
    </w:p>
    <w:p w:rsidR="00084DF6" w:rsidRDefault="00084DF6">
      <w:pPr>
        <w:pStyle w:val="BodyText"/>
        <w:spacing w:before="1"/>
        <w:rPr>
          <w:b/>
          <w:sz w:val="21"/>
        </w:rPr>
      </w:pPr>
    </w:p>
    <w:p w:rsidR="00084DF6" w:rsidRDefault="00EF0CD6">
      <w:pPr>
        <w:pStyle w:val="BodyText"/>
        <w:spacing w:line="276" w:lineRule="auto"/>
        <w:ind w:left="119" w:right="496"/>
        <w:jc w:val="both"/>
      </w:pPr>
      <w:r>
        <w:t>The Hearing will take place before a Licensing Sub-Committee which is made up of three Councillors selected from the full Licensing Committee. The applicant, objectors / representatives of objectors, and any responsible authority, will receive a Notice of Hearing. The Notice will set out the date, time and location and explains the procedure to be followed at the</w:t>
      </w:r>
      <w:r>
        <w:rPr>
          <w:spacing w:val="-2"/>
        </w:rPr>
        <w:t xml:space="preserve"> </w:t>
      </w:r>
      <w:r>
        <w:t>Hearing.</w:t>
      </w:r>
      <w:r w:rsidR="006B0111">
        <w:t xml:space="preserve"> </w:t>
      </w:r>
    </w:p>
    <w:p w:rsidR="00084DF6" w:rsidRDefault="00EF0CD6">
      <w:pPr>
        <w:pStyle w:val="BodyText"/>
        <w:spacing w:before="199" w:line="276" w:lineRule="auto"/>
        <w:ind w:left="119" w:right="495"/>
        <w:jc w:val="both"/>
      </w:pPr>
      <w:r>
        <w:t xml:space="preserve">In making decisions the Sub-Committee will take into account all of the written and verbal evidence before them. They also have a duty to take into account the Licensing Objectives set out in the Licensing Act 2003, the Council’s Statement of Licensing Policy </w:t>
      </w:r>
      <w:r w:rsidR="006B0111">
        <w:t xml:space="preserve">and Section 182 </w:t>
      </w:r>
      <w:r>
        <w:t>Guidance issued by the Secretary of</w:t>
      </w:r>
      <w:r>
        <w:rPr>
          <w:spacing w:val="-7"/>
        </w:rPr>
        <w:t xml:space="preserve"> </w:t>
      </w:r>
      <w:r>
        <w:t>State.</w:t>
      </w:r>
    </w:p>
    <w:p w:rsidR="00084DF6" w:rsidRDefault="00EF0CD6">
      <w:pPr>
        <w:pStyle w:val="Heading1"/>
        <w:spacing w:before="201"/>
      </w:pPr>
      <w:r>
        <w:t>The Decision</w:t>
      </w:r>
    </w:p>
    <w:p w:rsidR="00084DF6" w:rsidRDefault="00084DF6">
      <w:pPr>
        <w:pStyle w:val="BodyText"/>
        <w:spacing w:before="10"/>
        <w:rPr>
          <w:b/>
          <w:sz w:val="20"/>
        </w:rPr>
      </w:pPr>
    </w:p>
    <w:p w:rsidR="00084DF6" w:rsidRDefault="00EF0CD6">
      <w:pPr>
        <w:pStyle w:val="BodyText"/>
        <w:spacing w:before="1" w:line="276" w:lineRule="auto"/>
        <w:ind w:left="119" w:right="496"/>
        <w:jc w:val="both"/>
      </w:pPr>
      <w:r>
        <w:t>The Committee has five working days to make their decision and written confirmation will be distributed to all parties. If any party is unhappy about the decision, there is a right of Appeal to the Magistrates Court within 21 days of receipt of the decision.</w:t>
      </w:r>
    </w:p>
    <w:p w:rsidR="00084DF6" w:rsidRDefault="00084DF6">
      <w:pPr>
        <w:spacing w:line="276" w:lineRule="auto"/>
        <w:jc w:val="both"/>
        <w:sectPr w:rsidR="00084DF6">
          <w:footerReference w:type="default" r:id="rId13"/>
          <w:pgSz w:w="11900" w:h="16840"/>
          <w:pgMar w:top="1360" w:right="1320" w:bottom="1680" w:left="1320" w:header="0" w:footer="1484" w:gutter="0"/>
          <w:cols w:space="720"/>
        </w:sectPr>
      </w:pPr>
    </w:p>
    <w:p w:rsidR="00084DF6" w:rsidRDefault="00084DF6">
      <w:pPr>
        <w:pStyle w:val="BodyText"/>
        <w:spacing w:before="4"/>
      </w:pPr>
    </w:p>
    <w:p w:rsidR="00084DF6" w:rsidRDefault="006B0111">
      <w:pPr>
        <w:pStyle w:val="BodyText"/>
        <w:ind w:left="5797"/>
        <w:rPr>
          <w:sz w:val="20"/>
        </w:rPr>
      </w:pPr>
      <w:r w:rsidRPr="007F1DF1">
        <w:rPr>
          <w:rFonts w:ascii="Calibri" w:eastAsia="Calibri" w:hAnsi="Calibri" w:cs="Calibri"/>
          <w:noProof/>
          <w:sz w:val="22"/>
          <w:szCs w:val="22"/>
          <w:lang w:val="en-GB" w:eastAsia="en-GB" w:bidi="ar-SA"/>
        </w:rPr>
        <w:drawing>
          <wp:inline distT="0" distB="0" distL="0" distR="0" wp14:anchorId="072FB614" wp14:editId="4C68CFC4">
            <wp:extent cx="2444750" cy="636583"/>
            <wp:effectExtent l="0" t="0" r="0" b="0"/>
            <wp:docPr id="4"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73583" cy="644091"/>
                    </a:xfrm>
                    <a:prstGeom prst="rect">
                      <a:avLst/>
                    </a:prstGeom>
                    <a:noFill/>
                    <a:ln>
                      <a:noFill/>
                    </a:ln>
                  </pic:spPr>
                </pic:pic>
              </a:graphicData>
            </a:graphic>
          </wp:inline>
        </w:drawing>
      </w:r>
    </w:p>
    <w:p w:rsidR="00084DF6" w:rsidRDefault="00084DF6">
      <w:pPr>
        <w:pStyle w:val="BodyText"/>
        <w:rPr>
          <w:sz w:val="20"/>
        </w:rPr>
      </w:pPr>
    </w:p>
    <w:p w:rsidR="00084DF6" w:rsidRDefault="00084DF6">
      <w:pPr>
        <w:pStyle w:val="BodyText"/>
        <w:rPr>
          <w:sz w:val="20"/>
        </w:rPr>
      </w:pPr>
    </w:p>
    <w:p w:rsidR="00084DF6" w:rsidRDefault="00084DF6">
      <w:pPr>
        <w:pStyle w:val="BodyText"/>
        <w:rPr>
          <w:sz w:val="20"/>
        </w:rPr>
      </w:pPr>
    </w:p>
    <w:p w:rsidR="00084DF6" w:rsidRDefault="00EF0CD6">
      <w:pPr>
        <w:pStyle w:val="Heading1"/>
        <w:spacing w:before="93"/>
      </w:pPr>
      <w:r>
        <w:t>LICENSING ACT 2003</w:t>
      </w:r>
    </w:p>
    <w:p w:rsidR="00084DF6" w:rsidRDefault="00084DF6">
      <w:pPr>
        <w:pStyle w:val="BodyText"/>
        <w:rPr>
          <w:b/>
          <w:sz w:val="21"/>
        </w:rPr>
      </w:pPr>
    </w:p>
    <w:p w:rsidR="00084DF6" w:rsidRDefault="00EF0CD6">
      <w:pPr>
        <w:spacing w:before="1"/>
        <w:ind w:left="119"/>
        <w:rPr>
          <w:b/>
          <w:sz w:val="24"/>
        </w:rPr>
      </w:pPr>
      <w:r>
        <w:rPr>
          <w:b/>
          <w:sz w:val="24"/>
        </w:rPr>
        <w:t>Representations</w:t>
      </w:r>
    </w:p>
    <w:p w:rsidR="00084DF6" w:rsidRDefault="00084DF6">
      <w:pPr>
        <w:pStyle w:val="BodyText"/>
        <w:rPr>
          <w:b/>
          <w:sz w:val="26"/>
        </w:rPr>
      </w:pPr>
    </w:p>
    <w:p w:rsidR="00084DF6" w:rsidRDefault="00084DF6">
      <w:pPr>
        <w:pStyle w:val="BodyText"/>
        <w:rPr>
          <w:b/>
          <w:sz w:val="26"/>
        </w:rPr>
      </w:pPr>
    </w:p>
    <w:p w:rsidR="00084DF6" w:rsidRDefault="00EF0CD6">
      <w:pPr>
        <w:pStyle w:val="BodyText"/>
        <w:spacing w:before="160"/>
        <w:ind w:left="119"/>
      </w:pPr>
      <w:r>
        <w:t>Details of the representee:</w:t>
      </w:r>
    </w:p>
    <w:p w:rsidR="00084DF6" w:rsidRDefault="00084DF6">
      <w:pPr>
        <w:pStyle w:val="BodyText"/>
        <w:spacing w:before="1"/>
        <w:rPr>
          <w:sz w:val="21"/>
        </w:rPr>
      </w:pPr>
    </w:p>
    <w:p w:rsidR="00084DF6" w:rsidRDefault="00EF0CD6">
      <w:pPr>
        <w:pStyle w:val="BodyText"/>
        <w:ind w:left="119"/>
      </w:pPr>
      <w:r>
        <w:t>Name ………………… …………………………………………………………..………</w:t>
      </w:r>
    </w:p>
    <w:p w:rsidR="00084DF6" w:rsidRDefault="00084DF6">
      <w:pPr>
        <w:pStyle w:val="BodyText"/>
        <w:spacing w:before="10"/>
        <w:rPr>
          <w:sz w:val="20"/>
        </w:rPr>
      </w:pPr>
    </w:p>
    <w:p w:rsidR="00084DF6" w:rsidRDefault="00EF0CD6">
      <w:pPr>
        <w:pStyle w:val="BodyText"/>
        <w:ind w:left="119"/>
      </w:pPr>
      <w:r>
        <w:t>Address.……………………………………………………………………………………</w:t>
      </w:r>
    </w:p>
    <w:p w:rsidR="00084DF6" w:rsidRDefault="00084DF6">
      <w:pPr>
        <w:pStyle w:val="BodyText"/>
        <w:spacing w:before="1"/>
        <w:rPr>
          <w:sz w:val="21"/>
        </w:rPr>
      </w:pPr>
    </w:p>
    <w:p w:rsidR="00084DF6" w:rsidRDefault="00EF0CD6">
      <w:pPr>
        <w:pStyle w:val="BodyText"/>
        <w:spacing w:line="448" w:lineRule="auto"/>
        <w:ind w:left="119" w:right="481"/>
      </w:pPr>
      <w:r>
        <w:t>……………………………………………………………………………………………… Postcode………………………………………………………………………………….. Telephone Number ……………………………………………………………...……… Email address</w:t>
      </w:r>
      <w:r>
        <w:rPr>
          <w:spacing w:val="-12"/>
        </w:rPr>
        <w:t xml:space="preserve"> </w:t>
      </w:r>
      <w:r>
        <w:t>…………...………………………….……..……………….…….………</w:t>
      </w:r>
    </w:p>
    <w:p w:rsidR="00084DF6" w:rsidRDefault="00EF0CD6">
      <w:pPr>
        <w:pStyle w:val="Heading1"/>
        <w:tabs>
          <w:tab w:val="right" w:pos="8758"/>
        </w:tabs>
        <w:spacing w:before="523"/>
      </w:pPr>
      <w:r>
        <w:t>Please note the Council is required under the</w:t>
      </w:r>
      <w:r>
        <w:rPr>
          <w:spacing w:val="33"/>
        </w:rPr>
        <w:t xml:space="preserve"> </w:t>
      </w:r>
      <w:r>
        <w:t>Licensing</w:t>
      </w:r>
      <w:r>
        <w:rPr>
          <w:spacing w:val="59"/>
        </w:rPr>
        <w:t xml:space="preserve"> </w:t>
      </w:r>
      <w:r>
        <w:t>Act</w:t>
      </w:r>
      <w:r w:rsidR="006B0111">
        <w:t xml:space="preserve"> </w:t>
      </w:r>
      <w:r>
        <w:t>2003</w:t>
      </w:r>
    </w:p>
    <w:p w:rsidR="00084DF6" w:rsidRDefault="00EF0CD6">
      <w:pPr>
        <w:spacing w:before="41" w:line="276" w:lineRule="auto"/>
        <w:ind w:left="119" w:right="481"/>
        <w:rPr>
          <w:b/>
          <w:sz w:val="24"/>
        </w:rPr>
      </w:pPr>
      <w:r>
        <w:rPr>
          <w:b/>
          <w:sz w:val="24"/>
        </w:rPr>
        <w:t>(Hearings) Regulations 2005 to provide the applicant with copies of the relevant representations made.</w:t>
      </w:r>
    </w:p>
    <w:p w:rsidR="00084DF6" w:rsidRDefault="00EF0CD6">
      <w:pPr>
        <w:pStyle w:val="BodyText"/>
        <w:spacing w:before="716"/>
        <w:ind w:left="119"/>
      </w:pPr>
      <w:r>
        <w:t>Details of the application to make representation(s) on:</w:t>
      </w:r>
    </w:p>
    <w:p w:rsidR="00084DF6" w:rsidRDefault="00EF0CD6">
      <w:pPr>
        <w:pStyle w:val="BodyText"/>
        <w:spacing w:before="759"/>
        <w:ind w:left="119"/>
      </w:pPr>
      <w:r>
        <w:t>Application Reference</w:t>
      </w:r>
      <w:r>
        <w:rPr>
          <w:spacing w:val="-16"/>
        </w:rPr>
        <w:t xml:space="preserve"> </w:t>
      </w:r>
      <w:r>
        <w:t>Number………………………..……..…….…………….….….</w:t>
      </w:r>
    </w:p>
    <w:p w:rsidR="00084DF6" w:rsidRDefault="00EF0CD6">
      <w:pPr>
        <w:pStyle w:val="BodyText"/>
        <w:spacing w:before="242"/>
        <w:ind w:left="119"/>
      </w:pPr>
      <w:r>
        <w:t>Name of Premises</w:t>
      </w:r>
      <w:r>
        <w:rPr>
          <w:spacing w:val="-10"/>
        </w:rPr>
        <w:t xml:space="preserve"> </w:t>
      </w:r>
      <w:r>
        <w:t>…………………………………………………………...…..………</w:t>
      </w:r>
    </w:p>
    <w:p w:rsidR="00084DF6" w:rsidRDefault="00EF0CD6">
      <w:pPr>
        <w:pStyle w:val="BodyText"/>
        <w:spacing w:before="240"/>
        <w:ind w:left="119"/>
      </w:pPr>
      <w:r>
        <w:rPr>
          <w:w w:val="95"/>
        </w:rPr>
        <w:t xml:space="preserve">Premises      </w:t>
      </w:r>
      <w:r>
        <w:rPr>
          <w:spacing w:val="2"/>
          <w:w w:val="95"/>
        </w:rPr>
        <w:t xml:space="preserve"> </w:t>
      </w:r>
      <w:r>
        <w:rPr>
          <w:w w:val="95"/>
        </w:rPr>
        <w:t>Address....................................................................................................</w:t>
      </w:r>
    </w:p>
    <w:p w:rsidR="00084DF6" w:rsidRDefault="00EF0CD6">
      <w:pPr>
        <w:pStyle w:val="BodyText"/>
        <w:spacing w:line="520" w:lineRule="atLeast"/>
        <w:ind w:left="119" w:right="520"/>
      </w:pPr>
      <w:r>
        <w:t>……………………………………………………………………..…………………….… Postcode…………………………………………………….…………………………….</w:t>
      </w:r>
    </w:p>
    <w:p w:rsidR="00084DF6" w:rsidRDefault="00EF0CD6">
      <w:pPr>
        <w:pStyle w:val="BodyText"/>
        <w:spacing w:before="38"/>
        <w:ind w:left="119"/>
      </w:pPr>
      <w:r>
        <w:rPr>
          <w:w w:val="99"/>
        </w:rPr>
        <w:t>.</w:t>
      </w:r>
    </w:p>
    <w:p w:rsidR="00084DF6" w:rsidRDefault="00084DF6">
      <w:pPr>
        <w:sectPr w:rsidR="00084DF6">
          <w:pgSz w:w="11900" w:h="16840"/>
          <w:pgMar w:top="1600" w:right="1320" w:bottom="1680" w:left="1320" w:header="0" w:footer="1484" w:gutter="0"/>
          <w:cols w:space="720"/>
        </w:sectPr>
      </w:pPr>
    </w:p>
    <w:p w:rsidR="00084DF6" w:rsidRDefault="00EF0CD6">
      <w:pPr>
        <w:pStyle w:val="BodyText"/>
        <w:spacing w:before="78" w:line="276" w:lineRule="auto"/>
        <w:ind w:left="119" w:right="494"/>
        <w:jc w:val="both"/>
      </w:pPr>
      <w:r>
        <w:lastRenderedPageBreak/>
        <w:t>Under the Licensing Act 2003, for a representation to be relevant it must be one that is about the likely effect of the application on the promotion of the four licensing objectives.</w:t>
      </w:r>
    </w:p>
    <w:p w:rsidR="00084DF6" w:rsidRDefault="00EF0CD6">
      <w:pPr>
        <w:pStyle w:val="BodyText"/>
        <w:spacing w:before="200" w:line="276" w:lineRule="auto"/>
        <w:ind w:left="119" w:right="495"/>
        <w:jc w:val="both"/>
      </w:pPr>
      <w:r>
        <w:t>Please give details of your representation(s) and include information as to why the application would be unlikely to promote any of the following</w:t>
      </w:r>
      <w:r>
        <w:rPr>
          <w:spacing w:val="-18"/>
        </w:rPr>
        <w:t xml:space="preserve"> </w:t>
      </w:r>
      <w:r>
        <w:t>objective(s):</w:t>
      </w:r>
    </w:p>
    <w:p w:rsidR="00084DF6" w:rsidRDefault="00084DF6">
      <w:pPr>
        <w:pStyle w:val="BodyText"/>
        <w:rPr>
          <w:sz w:val="26"/>
        </w:rPr>
      </w:pPr>
    </w:p>
    <w:p w:rsidR="00084DF6" w:rsidRDefault="00084DF6">
      <w:pPr>
        <w:pStyle w:val="BodyText"/>
        <w:spacing w:before="3"/>
        <w:rPr>
          <w:sz w:val="36"/>
        </w:rPr>
      </w:pPr>
    </w:p>
    <w:p w:rsidR="00084DF6" w:rsidRDefault="00EF0CD6">
      <w:pPr>
        <w:pStyle w:val="Heading1"/>
      </w:pPr>
      <w:r>
        <w:t>The Prevention of Crime and Disorder:</w:t>
      </w:r>
    </w:p>
    <w:p w:rsidR="00084DF6" w:rsidRDefault="00084DF6">
      <w:pPr>
        <w:pStyle w:val="BodyText"/>
        <w:spacing w:before="1"/>
        <w:rPr>
          <w:b/>
          <w:sz w:val="21"/>
        </w:rPr>
      </w:pPr>
    </w:p>
    <w:p w:rsidR="00084DF6" w:rsidRDefault="00EF0CD6">
      <w:pPr>
        <w:pStyle w:val="BodyText"/>
        <w:ind w:left="119"/>
      </w:pPr>
      <w:r>
        <w:t>………………………………………………………………………………………………</w:t>
      </w:r>
    </w:p>
    <w:p w:rsidR="00084DF6" w:rsidRDefault="00EF0CD6">
      <w:pPr>
        <w:pStyle w:val="BodyText"/>
        <w:spacing w:before="41"/>
        <w:ind w:left="119"/>
      </w:pPr>
      <w:r>
        <w:t>………………………………………………………………………………………………</w:t>
      </w:r>
    </w:p>
    <w:p w:rsidR="00084DF6" w:rsidRDefault="00EF0CD6">
      <w:pPr>
        <w:pStyle w:val="BodyText"/>
        <w:spacing w:before="41"/>
        <w:ind w:left="119"/>
      </w:pPr>
      <w:r>
        <w:t>………………………………………………………………………………………………</w:t>
      </w:r>
    </w:p>
    <w:p w:rsidR="00084DF6" w:rsidRDefault="00EF0CD6">
      <w:pPr>
        <w:pStyle w:val="BodyText"/>
        <w:spacing w:before="43"/>
        <w:ind w:left="119"/>
      </w:pPr>
      <w:r>
        <w:t>………………………………………………………………………………………………</w:t>
      </w:r>
    </w:p>
    <w:p w:rsidR="00084DF6" w:rsidRDefault="00084DF6">
      <w:pPr>
        <w:pStyle w:val="BodyText"/>
        <w:spacing w:before="10"/>
        <w:rPr>
          <w:sz w:val="20"/>
        </w:rPr>
      </w:pPr>
    </w:p>
    <w:p w:rsidR="00084DF6" w:rsidRDefault="00EF0CD6">
      <w:pPr>
        <w:pStyle w:val="Heading1"/>
      </w:pPr>
      <w:r>
        <w:t>Public Safety:</w:t>
      </w:r>
    </w:p>
    <w:p w:rsidR="00084DF6" w:rsidRDefault="00084DF6">
      <w:pPr>
        <w:pStyle w:val="BodyText"/>
        <w:spacing w:before="1"/>
        <w:rPr>
          <w:b/>
          <w:sz w:val="21"/>
        </w:rPr>
      </w:pPr>
    </w:p>
    <w:p w:rsidR="00084DF6" w:rsidRDefault="00EF0CD6">
      <w:pPr>
        <w:pStyle w:val="BodyText"/>
        <w:ind w:left="119"/>
      </w:pPr>
      <w:r>
        <w:t>………………………………………………………………………………………………</w:t>
      </w:r>
    </w:p>
    <w:p w:rsidR="00084DF6" w:rsidRDefault="00EF0CD6">
      <w:pPr>
        <w:pStyle w:val="BodyText"/>
        <w:spacing w:before="41"/>
        <w:ind w:left="119"/>
      </w:pPr>
      <w:r>
        <w:t>………………………………………………………………………………………………</w:t>
      </w:r>
    </w:p>
    <w:p w:rsidR="00084DF6" w:rsidRDefault="00EF0CD6">
      <w:pPr>
        <w:pStyle w:val="BodyText"/>
        <w:spacing w:before="41"/>
        <w:ind w:left="119"/>
      </w:pPr>
      <w:r>
        <w:t>………………………………………………………………………………………………</w:t>
      </w:r>
    </w:p>
    <w:p w:rsidR="00084DF6" w:rsidRDefault="00EF0CD6">
      <w:pPr>
        <w:pStyle w:val="BodyText"/>
        <w:spacing w:before="43"/>
        <w:ind w:left="119"/>
      </w:pPr>
      <w:r>
        <w:t>………………………………………………………………………………………………</w:t>
      </w:r>
    </w:p>
    <w:p w:rsidR="00084DF6" w:rsidRDefault="00084DF6">
      <w:pPr>
        <w:pStyle w:val="BodyText"/>
        <w:spacing w:before="10"/>
        <w:rPr>
          <w:sz w:val="20"/>
        </w:rPr>
      </w:pPr>
    </w:p>
    <w:p w:rsidR="00084DF6" w:rsidRDefault="00EF0CD6">
      <w:pPr>
        <w:pStyle w:val="Heading1"/>
      </w:pPr>
      <w:r>
        <w:t>The Prevention of Public Nuisance:</w:t>
      </w:r>
    </w:p>
    <w:p w:rsidR="00084DF6" w:rsidRDefault="00084DF6">
      <w:pPr>
        <w:pStyle w:val="BodyText"/>
        <w:spacing w:before="1"/>
        <w:rPr>
          <w:b/>
          <w:sz w:val="21"/>
        </w:rPr>
      </w:pPr>
    </w:p>
    <w:p w:rsidR="00084DF6" w:rsidRDefault="00EF0CD6">
      <w:pPr>
        <w:pStyle w:val="BodyText"/>
        <w:ind w:left="119"/>
      </w:pPr>
      <w:r>
        <w:t>………………………………………………………………………………………………</w:t>
      </w:r>
    </w:p>
    <w:p w:rsidR="00084DF6" w:rsidRDefault="00EF0CD6">
      <w:pPr>
        <w:pStyle w:val="BodyText"/>
        <w:spacing w:before="41"/>
        <w:ind w:left="119"/>
      </w:pPr>
      <w:r>
        <w:t>………………………………………………………………………………………………</w:t>
      </w:r>
    </w:p>
    <w:p w:rsidR="00084DF6" w:rsidRDefault="00EF0CD6">
      <w:pPr>
        <w:pStyle w:val="BodyText"/>
        <w:spacing w:before="40"/>
        <w:ind w:left="119"/>
      </w:pPr>
      <w:r>
        <w:t>………………………………………………………………………………………………</w:t>
      </w:r>
    </w:p>
    <w:p w:rsidR="00084DF6" w:rsidRDefault="00EF0CD6">
      <w:pPr>
        <w:pStyle w:val="BodyText"/>
        <w:spacing w:before="41"/>
        <w:ind w:left="119"/>
      </w:pPr>
      <w:r>
        <w:t>………………………………………………………………………………………………</w:t>
      </w:r>
    </w:p>
    <w:p w:rsidR="00084DF6" w:rsidRDefault="00084DF6">
      <w:pPr>
        <w:pStyle w:val="BodyText"/>
        <w:spacing w:before="1"/>
        <w:rPr>
          <w:sz w:val="21"/>
        </w:rPr>
      </w:pPr>
    </w:p>
    <w:p w:rsidR="00084DF6" w:rsidRDefault="00EF0CD6">
      <w:pPr>
        <w:pStyle w:val="Heading1"/>
      </w:pPr>
      <w:r>
        <w:t>The Protection of Children from Harm:</w:t>
      </w:r>
    </w:p>
    <w:p w:rsidR="00084DF6" w:rsidRDefault="00084DF6">
      <w:pPr>
        <w:pStyle w:val="BodyText"/>
        <w:spacing w:before="1"/>
        <w:rPr>
          <w:b/>
          <w:sz w:val="21"/>
        </w:rPr>
      </w:pPr>
    </w:p>
    <w:p w:rsidR="00084DF6" w:rsidRDefault="00EF0CD6">
      <w:pPr>
        <w:pStyle w:val="BodyText"/>
        <w:ind w:left="119"/>
      </w:pPr>
      <w:r>
        <w:t>………………………………………………………………………………………………</w:t>
      </w:r>
    </w:p>
    <w:p w:rsidR="00084DF6" w:rsidRDefault="00EF0CD6">
      <w:pPr>
        <w:pStyle w:val="BodyText"/>
        <w:spacing w:before="41"/>
        <w:ind w:left="119"/>
      </w:pPr>
      <w:r>
        <w:t>………………………………………………………………………………………………</w:t>
      </w:r>
    </w:p>
    <w:p w:rsidR="00084DF6" w:rsidRDefault="00EF0CD6">
      <w:pPr>
        <w:pStyle w:val="BodyText"/>
        <w:spacing w:before="41"/>
        <w:ind w:left="119"/>
      </w:pPr>
      <w:r>
        <w:t>………………………………………………………………………………………………</w:t>
      </w:r>
    </w:p>
    <w:p w:rsidR="00084DF6" w:rsidRDefault="00EF0CD6">
      <w:pPr>
        <w:pStyle w:val="BodyText"/>
        <w:spacing w:before="41"/>
        <w:ind w:left="119"/>
      </w:pPr>
      <w:r>
        <w:t>………………………………………………………………………………………………</w:t>
      </w:r>
    </w:p>
    <w:p w:rsidR="00084DF6" w:rsidRDefault="00084DF6">
      <w:pPr>
        <w:pStyle w:val="BodyText"/>
        <w:rPr>
          <w:sz w:val="26"/>
        </w:rPr>
      </w:pPr>
    </w:p>
    <w:p w:rsidR="00084DF6" w:rsidRDefault="00084DF6">
      <w:pPr>
        <w:pStyle w:val="BodyText"/>
        <w:rPr>
          <w:sz w:val="26"/>
        </w:rPr>
      </w:pPr>
    </w:p>
    <w:p w:rsidR="00084DF6" w:rsidRDefault="00EF0CD6">
      <w:pPr>
        <w:pStyle w:val="BodyText"/>
        <w:spacing w:before="160"/>
        <w:ind w:left="119"/>
      </w:pPr>
      <w:r>
        <w:t>Signed:……………………….……….………………………………………………….</w:t>
      </w:r>
    </w:p>
    <w:p w:rsidR="00084DF6" w:rsidRDefault="00084DF6">
      <w:pPr>
        <w:pStyle w:val="BodyText"/>
        <w:spacing w:before="1"/>
        <w:rPr>
          <w:sz w:val="21"/>
        </w:rPr>
      </w:pPr>
    </w:p>
    <w:p w:rsidR="00084DF6" w:rsidRDefault="00EF0CD6">
      <w:pPr>
        <w:pStyle w:val="BodyText"/>
        <w:ind w:left="119"/>
      </w:pPr>
      <w:r>
        <w:t>Date:………………………………………………………………………………………</w:t>
      </w:r>
    </w:p>
    <w:p w:rsidR="00084DF6" w:rsidRDefault="00084DF6">
      <w:pPr>
        <w:pStyle w:val="BodyText"/>
        <w:rPr>
          <w:sz w:val="26"/>
        </w:rPr>
      </w:pPr>
    </w:p>
    <w:p w:rsidR="00084DF6" w:rsidRDefault="00084DF6">
      <w:pPr>
        <w:pStyle w:val="BodyText"/>
        <w:spacing w:before="6"/>
        <w:rPr>
          <w:sz w:val="35"/>
        </w:rPr>
      </w:pPr>
    </w:p>
    <w:p w:rsidR="000B6E26" w:rsidRPr="000B6E26" w:rsidRDefault="00EF0CD6" w:rsidP="000B6E26">
      <w:pPr>
        <w:spacing w:line="276" w:lineRule="auto"/>
        <w:ind w:left="120" w:right="481"/>
        <w:rPr>
          <w:sz w:val="20"/>
        </w:rPr>
      </w:pPr>
      <w:r>
        <w:rPr>
          <w:sz w:val="18"/>
        </w:rPr>
        <w:t xml:space="preserve">Please send completed form to </w:t>
      </w:r>
      <w:r>
        <w:rPr>
          <w:sz w:val="20"/>
        </w:rPr>
        <w:t xml:space="preserve">Licensing, Public Protection Partnership, </w:t>
      </w:r>
      <w:r w:rsidR="000B6E26" w:rsidRPr="000B6E26">
        <w:rPr>
          <w:sz w:val="20"/>
        </w:rPr>
        <w:t xml:space="preserve">Theale Library, </w:t>
      </w:r>
    </w:p>
    <w:p w:rsidR="00084DF6" w:rsidRDefault="000B6E26" w:rsidP="000B6E26">
      <w:pPr>
        <w:spacing w:line="276" w:lineRule="auto"/>
        <w:ind w:left="120" w:right="481"/>
        <w:rPr>
          <w:sz w:val="20"/>
        </w:rPr>
      </w:pPr>
      <w:r w:rsidRPr="000B6E26">
        <w:rPr>
          <w:sz w:val="20"/>
        </w:rPr>
        <w:t xml:space="preserve">Church Street, Theale, </w:t>
      </w:r>
      <w:r>
        <w:rPr>
          <w:sz w:val="20"/>
        </w:rPr>
        <w:t xml:space="preserve">Berkshire, </w:t>
      </w:r>
      <w:r w:rsidRPr="000B6E26">
        <w:rPr>
          <w:sz w:val="20"/>
        </w:rPr>
        <w:t>RG7 5BZ</w:t>
      </w:r>
    </w:p>
    <w:sectPr w:rsidR="00084DF6">
      <w:pgSz w:w="11900" w:h="16840"/>
      <w:pgMar w:top="1360" w:right="1320" w:bottom="1680" w:left="1320" w:header="0" w:footer="14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6C" w:rsidRDefault="00A8116C">
      <w:r>
        <w:separator/>
      </w:r>
    </w:p>
  </w:endnote>
  <w:endnote w:type="continuationSeparator" w:id="0">
    <w:p w:rsidR="00A8116C" w:rsidRDefault="00A8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F6" w:rsidRDefault="00A8116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2.25pt;margin-top:756.8pt;width:11.6pt;height:13.05pt;z-index:-251658752;mso-position-horizontal-relative:page;mso-position-vertical-relative:page" filled="f" stroked="f">
          <v:textbox inset="0,0,0,0">
            <w:txbxContent>
              <w:p w:rsidR="00084DF6" w:rsidRDefault="00EF0CD6">
                <w:pPr>
                  <w:spacing w:line="245" w:lineRule="exact"/>
                  <w:ind w:left="60"/>
                  <w:rPr>
                    <w:rFonts w:ascii="Calibri"/>
                  </w:rPr>
                </w:pPr>
                <w:r>
                  <w:fldChar w:fldCharType="begin"/>
                </w:r>
                <w:r>
                  <w:rPr>
                    <w:rFonts w:ascii="Calibri"/>
                  </w:rPr>
                  <w:instrText xml:space="preserve"> PAGE </w:instrText>
                </w:r>
                <w:r>
                  <w:fldChar w:fldCharType="separate"/>
                </w:r>
                <w:r w:rsidR="00E7043B">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6C" w:rsidRDefault="00A8116C">
      <w:r>
        <w:separator/>
      </w:r>
    </w:p>
  </w:footnote>
  <w:footnote w:type="continuationSeparator" w:id="0">
    <w:p w:rsidR="00A8116C" w:rsidRDefault="00A81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01E"/>
    <w:multiLevelType w:val="hybridMultilevel"/>
    <w:tmpl w:val="47FCF8CA"/>
    <w:lvl w:ilvl="0" w:tplc="DE98F072">
      <w:numFmt w:val="bullet"/>
      <w:lvlText w:val="•"/>
      <w:lvlJc w:val="left"/>
      <w:pPr>
        <w:ind w:left="907" w:hanging="788"/>
      </w:pPr>
      <w:rPr>
        <w:rFonts w:ascii="Arial" w:eastAsia="Arial" w:hAnsi="Arial" w:cs="Arial" w:hint="default"/>
        <w:w w:val="99"/>
        <w:sz w:val="24"/>
        <w:szCs w:val="24"/>
        <w:lang w:val="en-US" w:eastAsia="en-US" w:bidi="en-US"/>
      </w:rPr>
    </w:lvl>
    <w:lvl w:ilvl="1" w:tplc="FACAD1C2">
      <w:numFmt w:val="bullet"/>
      <w:lvlText w:val="•"/>
      <w:lvlJc w:val="left"/>
      <w:pPr>
        <w:ind w:left="1736" w:hanging="788"/>
      </w:pPr>
      <w:rPr>
        <w:rFonts w:hint="default"/>
        <w:lang w:val="en-US" w:eastAsia="en-US" w:bidi="en-US"/>
      </w:rPr>
    </w:lvl>
    <w:lvl w:ilvl="2" w:tplc="7E4A6B42">
      <w:numFmt w:val="bullet"/>
      <w:lvlText w:val="•"/>
      <w:lvlJc w:val="left"/>
      <w:pPr>
        <w:ind w:left="2572" w:hanging="788"/>
      </w:pPr>
      <w:rPr>
        <w:rFonts w:hint="default"/>
        <w:lang w:val="en-US" w:eastAsia="en-US" w:bidi="en-US"/>
      </w:rPr>
    </w:lvl>
    <w:lvl w:ilvl="3" w:tplc="5BF06218">
      <w:numFmt w:val="bullet"/>
      <w:lvlText w:val="•"/>
      <w:lvlJc w:val="left"/>
      <w:pPr>
        <w:ind w:left="3408" w:hanging="788"/>
      </w:pPr>
      <w:rPr>
        <w:rFonts w:hint="default"/>
        <w:lang w:val="en-US" w:eastAsia="en-US" w:bidi="en-US"/>
      </w:rPr>
    </w:lvl>
    <w:lvl w:ilvl="4" w:tplc="CA105AA8">
      <w:numFmt w:val="bullet"/>
      <w:lvlText w:val="•"/>
      <w:lvlJc w:val="left"/>
      <w:pPr>
        <w:ind w:left="4244" w:hanging="788"/>
      </w:pPr>
      <w:rPr>
        <w:rFonts w:hint="default"/>
        <w:lang w:val="en-US" w:eastAsia="en-US" w:bidi="en-US"/>
      </w:rPr>
    </w:lvl>
    <w:lvl w:ilvl="5" w:tplc="66AA1344">
      <w:numFmt w:val="bullet"/>
      <w:lvlText w:val="•"/>
      <w:lvlJc w:val="left"/>
      <w:pPr>
        <w:ind w:left="5080" w:hanging="788"/>
      </w:pPr>
      <w:rPr>
        <w:rFonts w:hint="default"/>
        <w:lang w:val="en-US" w:eastAsia="en-US" w:bidi="en-US"/>
      </w:rPr>
    </w:lvl>
    <w:lvl w:ilvl="6" w:tplc="97063194">
      <w:numFmt w:val="bullet"/>
      <w:lvlText w:val="•"/>
      <w:lvlJc w:val="left"/>
      <w:pPr>
        <w:ind w:left="5916" w:hanging="788"/>
      </w:pPr>
      <w:rPr>
        <w:rFonts w:hint="default"/>
        <w:lang w:val="en-US" w:eastAsia="en-US" w:bidi="en-US"/>
      </w:rPr>
    </w:lvl>
    <w:lvl w:ilvl="7" w:tplc="6C30F244">
      <w:numFmt w:val="bullet"/>
      <w:lvlText w:val="•"/>
      <w:lvlJc w:val="left"/>
      <w:pPr>
        <w:ind w:left="6752" w:hanging="788"/>
      </w:pPr>
      <w:rPr>
        <w:rFonts w:hint="default"/>
        <w:lang w:val="en-US" w:eastAsia="en-US" w:bidi="en-US"/>
      </w:rPr>
    </w:lvl>
    <w:lvl w:ilvl="8" w:tplc="CC44C472">
      <w:numFmt w:val="bullet"/>
      <w:lvlText w:val="•"/>
      <w:lvlJc w:val="left"/>
      <w:pPr>
        <w:ind w:left="7588" w:hanging="78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84DF6"/>
    <w:rsid w:val="00084DF6"/>
    <w:rsid w:val="000B6E26"/>
    <w:rsid w:val="006B0111"/>
    <w:rsid w:val="007F0CE9"/>
    <w:rsid w:val="00A8116C"/>
    <w:rsid w:val="00E7043B"/>
    <w:rsid w:val="00EF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0452ED-1A54-479B-891F-D4AC10CB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7" w:hanging="78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0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cid:image003.png@01D81838.559E42E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protectionpartnership.org.uk/licensing/alcohol-and-entertainment/premises-licence/licensing-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westberk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explanatory-memorandum-revised-guidance-issued-under-s-182-of-licensing-act-2003" TargetMode="External"/><Relationship Id="rId4" Type="http://schemas.openxmlformats.org/officeDocument/2006/relationships/webSettings" Target="webSettings.xml"/><Relationship Id="rId9" Type="http://schemas.openxmlformats.org/officeDocument/2006/relationships/hyperlink" Target="https://www.gov.uk/government/publications/explanatory-memorandum-revised-guidance-issued-under-s-182-of-licensing-act-2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Representation Form</vt:lpstr>
    </vt:vector>
  </TitlesOfParts>
  <Company>West Berkshire Council</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Form</dc:title>
  <dc:creator>clambert</dc:creator>
  <cp:keywords>()</cp:keywords>
  <cp:lastModifiedBy>Lisa Norgate-Barnes</cp:lastModifiedBy>
  <cp:revision>2</cp:revision>
  <dcterms:created xsi:type="dcterms:W3CDTF">2023-06-15T08:35:00Z</dcterms:created>
  <dcterms:modified xsi:type="dcterms:W3CDTF">2023-06-15T08:35:00Z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PDFCreator Version 1.7.2</vt:lpwstr>
  </property>
  <property fmtid="{D5CDD505-2E9C-101B-9397-08002B2CF9AE}" pid="4" name="LastSaved">
    <vt:filetime>2023-06-12T00:00:00Z</vt:filetime>
  </property>
</Properties>
</file>