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C3E3" w14:textId="68916FFC" w:rsidR="00C90C0D" w:rsidRPr="00ED64A3" w:rsidRDefault="000B4F06" w:rsidP="00C91433">
      <w:pPr>
        <w:pStyle w:val="Heading1"/>
        <w:ind w:right="514"/>
        <w:jc w:val="center"/>
      </w:pPr>
      <w:r w:rsidRPr="00ED64A3">
        <w:t xml:space="preserve">Outcome of the </w:t>
      </w:r>
      <w:r w:rsidR="005926BE" w:rsidRPr="005926BE">
        <w:t>Draft Statement of Licensing Policy 2023-2028</w:t>
      </w:r>
      <w:r w:rsidR="005926BE">
        <w:t xml:space="preserve"> </w:t>
      </w:r>
      <w:r w:rsidRPr="00ED64A3">
        <w:t xml:space="preserve">Consultation </w:t>
      </w:r>
    </w:p>
    <w:p w14:paraId="1926767A" w14:textId="03CB694C" w:rsidR="009E5C03" w:rsidRDefault="000B4F06" w:rsidP="00C91433">
      <w:pPr>
        <w:pStyle w:val="Heading2"/>
        <w:ind w:right="514"/>
        <w:jc w:val="both"/>
        <w:rPr>
          <w:rFonts w:ascii="Arial" w:eastAsia="Times New Roman" w:hAnsi="Arial" w:cs="Arial"/>
          <w:lang w:eastAsia="en-GB"/>
        </w:rPr>
      </w:pPr>
      <w:r w:rsidRPr="000E01FB">
        <w:t>Background</w:t>
      </w:r>
    </w:p>
    <w:p w14:paraId="5A00DD8F" w14:textId="77777777" w:rsidR="005E6536" w:rsidRPr="005E6536" w:rsidRDefault="005E6536" w:rsidP="005E6536">
      <w:pPr>
        <w:widowControl w:val="0"/>
        <w:autoSpaceDE w:val="0"/>
        <w:autoSpaceDN w:val="0"/>
        <w:ind w:right="-46"/>
        <w:jc w:val="both"/>
        <w:rPr>
          <w:rFonts w:ascii="Arial" w:eastAsia="Arial" w:hAnsi="Arial" w:cs="Arial"/>
          <w:lang w:bidi="en-US"/>
        </w:rPr>
      </w:pPr>
      <w:r w:rsidRPr="005E6536">
        <w:rPr>
          <w:rFonts w:ascii="Arial" w:eastAsia="Arial" w:hAnsi="Arial" w:cs="Arial"/>
          <w:lang w:bidi="en-US"/>
        </w:rPr>
        <w:t xml:space="preserve">Under the </w:t>
      </w:r>
      <w:hyperlink r:id="rId6" w:history="1">
        <w:r w:rsidRPr="005E6536">
          <w:rPr>
            <w:rFonts w:ascii="Arial" w:eastAsia="Arial" w:hAnsi="Arial" w:cs="Arial"/>
            <w:b/>
            <w:bCs/>
            <w:color w:val="00B050"/>
            <w:u w:val="single"/>
            <w:lang w:bidi="en-US"/>
          </w:rPr>
          <w:t>Licensing Act 2003</w:t>
        </w:r>
      </w:hyperlink>
      <w:r w:rsidRPr="005E6536">
        <w:rPr>
          <w:rFonts w:ascii="Arial" w:eastAsia="Arial" w:hAnsi="Arial" w:cs="Arial"/>
          <w:lang w:bidi="en-US"/>
        </w:rPr>
        <w:t>, West Berkshire Council, along with all licensing authorities, must prepare, adopt and publish a Statement of Licensing Policy (SOLP), every five years or when the council believes the policy requires updating, and our current SOLP is due to expire at the end of December 2023.</w:t>
      </w:r>
    </w:p>
    <w:p w14:paraId="6E40B02E" w14:textId="77777777" w:rsidR="005E6536" w:rsidRPr="005E6536" w:rsidRDefault="005E6536" w:rsidP="005E6536">
      <w:pPr>
        <w:widowControl w:val="0"/>
        <w:autoSpaceDE w:val="0"/>
        <w:autoSpaceDN w:val="0"/>
        <w:jc w:val="both"/>
        <w:rPr>
          <w:rFonts w:ascii="Arial" w:eastAsia="Arial" w:hAnsi="Arial" w:cs="Arial"/>
          <w:lang w:bidi="en-US"/>
        </w:rPr>
      </w:pPr>
    </w:p>
    <w:p w14:paraId="42B3D0DE" w14:textId="77777777" w:rsidR="005E6536" w:rsidRPr="005E6536" w:rsidRDefault="005E6536" w:rsidP="005E6536">
      <w:pPr>
        <w:widowControl w:val="0"/>
        <w:autoSpaceDE w:val="0"/>
        <w:autoSpaceDN w:val="0"/>
        <w:ind w:right="-46"/>
        <w:jc w:val="both"/>
        <w:rPr>
          <w:rFonts w:ascii="Arial" w:eastAsia="Arial" w:hAnsi="Arial" w:cs="Arial"/>
          <w:lang w:bidi="en-US"/>
        </w:rPr>
      </w:pPr>
      <w:r w:rsidRPr="005E6536">
        <w:rPr>
          <w:rFonts w:ascii="Arial" w:eastAsia="Arial" w:hAnsi="Arial" w:cs="Arial"/>
          <w:lang w:bidi="en-US"/>
        </w:rPr>
        <w:t>Our statement sets out how we will determine applications and applies to any premises which sells or provides alcohol, provides regulated entertainment (for example a performance in front of an audience), or late-night refreshment (i.e., provision of hot food between 23h00 and 05h00) within West Berkshire. Businesses and individuals who want to carry out these licensable activities must apply, via the Public Protection Partnership, for permission to do so.</w:t>
      </w:r>
    </w:p>
    <w:p w14:paraId="18AEC975" w14:textId="5C7A2874" w:rsidR="005E6536" w:rsidRPr="0044230E" w:rsidRDefault="005E6536" w:rsidP="005E6536">
      <w:pPr>
        <w:pStyle w:val="Heading2"/>
      </w:pPr>
      <w:r w:rsidRPr="0044230E">
        <w:t xml:space="preserve">How we </w:t>
      </w:r>
      <w:r>
        <w:t>D</w:t>
      </w:r>
      <w:r w:rsidRPr="0044230E">
        <w:t xml:space="preserve">eveloped our </w:t>
      </w:r>
      <w:r>
        <w:t>D</w:t>
      </w:r>
      <w:r w:rsidRPr="0044230E">
        <w:t xml:space="preserve">raft </w:t>
      </w:r>
      <w:r>
        <w:t>P</w:t>
      </w:r>
      <w:r w:rsidRPr="0044230E">
        <w:t>olicy</w:t>
      </w:r>
    </w:p>
    <w:p w14:paraId="04735DAE" w14:textId="77777777" w:rsidR="005E6536" w:rsidRPr="0044230E" w:rsidRDefault="005E6536" w:rsidP="005E6536">
      <w:pPr>
        <w:pStyle w:val="BodyText"/>
        <w:rPr>
          <w:b/>
          <w:lang w:val="en-GB"/>
        </w:rPr>
      </w:pPr>
    </w:p>
    <w:p w14:paraId="58DD9D53" w14:textId="77777777" w:rsidR="005E6536" w:rsidRPr="0044230E" w:rsidRDefault="005E6536" w:rsidP="005E6536">
      <w:pPr>
        <w:pStyle w:val="BodyText"/>
        <w:ind w:right="-46"/>
        <w:jc w:val="both"/>
        <w:rPr>
          <w:lang w:val="en-GB"/>
        </w:rPr>
      </w:pPr>
      <w:r w:rsidRPr="0044230E">
        <w:rPr>
          <w:lang w:val="en-GB"/>
        </w:rPr>
        <w:t>The current SOLP was adopted after we consulted local licence holders, Thames Valley Police, the Royal Berkshire Fire and Rescue Service, national bodies that represent the trade, district and parish councillors, residents and colleagues across the Council including Legal Services, Planning, Environment Health, Trading Standards and Public Health.</w:t>
      </w:r>
    </w:p>
    <w:p w14:paraId="48E94D12" w14:textId="77777777" w:rsidR="005E6536" w:rsidRPr="0044230E" w:rsidRDefault="005E6536" w:rsidP="005E6536">
      <w:pPr>
        <w:pStyle w:val="BodyText"/>
        <w:ind w:right="-46"/>
        <w:jc w:val="both"/>
        <w:rPr>
          <w:lang w:val="en-GB"/>
        </w:rPr>
      </w:pPr>
    </w:p>
    <w:p w14:paraId="393E962A" w14:textId="77777777" w:rsidR="005E6536" w:rsidRPr="0044230E" w:rsidRDefault="005E6536" w:rsidP="005E6536">
      <w:pPr>
        <w:pStyle w:val="BodyText"/>
        <w:ind w:right="-46"/>
        <w:jc w:val="both"/>
        <w:rPr>
          <w:lang w:val="en-GB"/>
        </w:rPr>
      </w:pPr>
      <w:r w:rsidRPr="0044230E">
        <w:rPr>
          <w:lang w:val="en-GB"/>
        </w:rPr>
        <w:t xml:space="preserve">In developing the SOLP, we've considered national and local policies and strategies, including the Licensing Act 2003, </w:t>
      </w:r>
      <w:hyperlink r:id="rId7" w:history="1">
        <w:r w:rsidRPr="0044230E">
          <w:rPr>
            <w:rStyle w:val="Hyperlink"/>
            <w:lang w:val="en-GB"/>
          </w:rPr>
          <w:t>t</w:t>
        </w:r>
        <w:r w:rsidRPr="0044230E">
          <w:rPr>
            <w:rStyle w:val="Hyperlink"/>
            <w:b/>
            <w:bCs/>
            <w:color w:val="00B050"/>
            <w:lang w:val="en-GB"/>
          </w:rPr>
          <w:t>he Section 182 Guidance</w:t>
        </w:r>
      </w:hyperlink>
      <w:r w:rsidRPr="0044230E">
        <w:rPr>
          <w:lang w:val="en-GB"/>
        </w:rPr>
        <w:t xml:space="preserve"> issued by the Secretary of State in August 2023, the </w:t>
      </w:r>
      <w:hyperlink r:id="rId8" w:history="1">
        <w:r w:rsidRPr="0044230E">
          <w:rPr>
            <w:rStyle w:val="Hyperlink"/>
            <w:b/>
            <w:bCs/>
            <w:color w:val="00B050"/>
            <w:lang w:val="en-GB"/>
          </w:rPr>
          <w:t>Equalities Act 2010</w:t>
        </w:r>
      </w:hyperlink>
      <w:r w:rsidRPr="0044230E">
        <w:rPr>
          <w:b/>
          <w:bCs/>
          <w:color w:val="00B050"/>
          <w:lang w:val="en-GB"/>
        </w:rPr>
        <w:t>,</w:t>
      </w:r>
      <w:r w:rsidRPr="0044230E">
        <w:rPr>
          <w:lang w:val="en-GB"/>
        </w:rPr>
        <w:t xml:space="preserve"> the </w:t>
      </w:r>
      <w:hyperlink r:id="rId9" w:history="1">
        <w:r w:rsidRPr="0044230E">
          <w:rPr>
            <w:rStyle w:val="Hyperlink"/>
            <w:b/>
            <w:bCs/>
            <w:color w:val="00B050"/>
            <w:lang w:val="en-GB"/>
          </w:rPr>
          <w:t>Licensing Act 2003 (hearings) Regulations 2005</w:t>
        </w:r>
      </w:hyperlink>
      <w:r w:rsidRPr="0044230E">
        <w:rPr>
          <w:b/>
          <w:bCs/>
          <w:color w:val="00B050"/>
          <w:lang w:val="en-GB"/>
        </w:rPr>
        <w:t>,</w:t>
      </w:r>
      <w:r w:rsidRPr="0044230E">
        <w:rPr>
          <w:lang w:val="en-GB"/>
        </w:rPr>
        <w:t xml:space="preserve"> Section 17 of the </w:t>
      </w:r>
      <w:hyperlink r:id="rId10" w:history="1">
        <w:r w:rsidRPr="0044230E">
          <w:rPr>
            <w:rStyle w:val="Hyperlink"/>
            <w:b/>
            <w:bCs/>
            <w:color w:val="00B050"/>
            <w:lang w:val="en-GB"/>
          </w:rPr>
          <w:t>Police and Crime Act 2017</w:t>
        </w:r>
      </w:hyperlink>
      <w:r w:rsidRPr="0044230E">
        <w:rPr>
          <w:lang w:val="en-GB"/>
        </w:rPr>
        <w:t xml:space="preserve"> and the </w:t>
      </w:r>
      <w:hyperlink r:id="rId11" w:history="1">
        <w:r w:rsidRPr="0044230E">
          <w:rPr>
            <w:rStyle w:val="Hyperlink"/>
            <w:b/>
            <w:bCs/>
            <w:color w:val="00B050"/>
            <w:lang w:val="en-GB"/>
          </w:rPr>
          <w:t>Human Rights Act 1998</w:t>
        </w:r>
      </w:hyperlink>
      <w:r w:rsidRPr="0044230E">
        <w:rPr>
          <w:lang w:val="en-GB"/>
        </w:rPr>
        <w:t>.</w:t>
      </w:r>
    </w:p>
    <w:p w14:paraId="31138EF1" w14:textId="77777777" w:rsidR="005E6536" w:rsidRPr="0044230E" w:rsidRDefault="005E6536" w:rsidP="005E6536">
      <w:pPr>
        <w:pStyle w:val="BodyText"/>
        <w:ind w:right="-46"/>
        <w:jc w:val="both"/>
        <w:rPr>
          <w:lang w:val="en-GB"/>
        </w:rPr>
      </w:pPr>
    </w:p>
    <w:p w14:paraId="565F8A8B" w14:textId="77777777" w:rsidR="005E6536" w:rsidRPr="0044230E" w:rsidRDefault="005E6536" w:rsidP="005E6536">
      <w:pPr>
        <w:pStyle w:val="BodyText"/>
        <w:ind w:right="-46"/>
        <w:jc w:val="both"/>
        <w:rPr>
          <w:lang w:val="en-GB"/>
        </w:rPr>
      </w:pPr>
      <w:r w:rsidRPr="0044230E">
        <w:rPr>
          <w:lang w:val="en-GB"/>
        </w:rPr>
        <w:t>We have also viewed it in the context of the Council's Strategy, which seeks to make West Berkshire a great place to live, learn and do business, and the Public Protection Partnerships vision which is to protect and support residents and legitimate businesses through the successful use of information and intelligence, delivering safe and healthy neighbourhoods.</w:t>
      </w:r>
    </w:p>
    <w:p w14:paraId="2A52CBEA" w14:textId="77777777" w:rsidR="005E6536" w:rsidRPr="0044230E" w:rsidRDefault="005E6536" w:rsidP="005E6536">
      <w:pPr>
        <w:pStyle w:val="BodyText"/>
        <w:ind w:right="-46"/>
        <w:jc w:val="both"/>
        <w:rPr>
          <w:lang w:val="en-GB"/>
        </w:rPr>
      </w:pPr>
    </w:p>
    <w:p w14:paraId="4565AC8B" w14:textId="77777777" w:rsidR="005E6536" w:rsidRPr="0044230E" w:rsidRDefault="005E6536" w:rsidP="005E6536">
      <w:pPr>
        <w:pStyle w:val="BodyText"/>
        <w:ind w:right="-46"/>
        <w:jc w:val="both"/>
        <w:rPr>
          <w:lang w:val="en-GB"/>
        </w:rPr>
      </w:pPr>
      <w:r w:rsidRPr="0044230E">
        <w:rPr>
          <w:lang w:val="en-GB"/>
        </w:rPr>
        <w:t>Through the process of developing</w:t>
      </w:r>
      <w:r>
        <w:rPr>
          <w:lang w:val="en-GB"/>
        </w:rPr>
        <w:t xml:space="preserve"> and adopting</w:t>
      </w:r>
      <w:r w:rsidRPr="0044230E">
        <w:rPr>
          <w:lang w:val="en-GB"/>
        </w:rPr>
        <w:t xml:space="preserve"> the SOLP, we aim to facilitate a healthy economy that feels both safe and supported and provides opportunities for residents and visitors to enjoy a broad range of activities while improving the quality of life of residents and increases the attractiveness of the area to visitors.</w:t>
      </w:r>
    </w:p>
    <w:p w14:paraId="689936D9" w14:textId="77777777" w:rsidR="005E6536" w:rsidRPr="0044230E" w:rsidRDefault="005E6536" w:rsidP="005E6536">
      <w:pPr>
        <w:pStyle w:val="BodyText"/>
        <w:ind w:right="-46"/>
        <w:jc w:val="both"/>
        <w:rPr>
          <w:lang w:val="en-GB"/>
        </w:rPr>
      </w:pPr>
    </w:p>
    <w:p w14:paraId="58DA0151" w14:textId="77777777" w:rsidR="005E6536" w:rsidRPr="0044230E" w:rsidRDefault="005E6536" w:rsidP="005E6536">
      <w:pPr>
        <w:pStyle w:val="BodyText"/>
        <w:ind w:right="-46"/>
        <w:jc w:val="both"/>
        <w:rPr>
          <w:lang w:val="en-GB"/>
        </w:rPr>
      </w:pPr>
      <w:r w:rsidRPr="0044230E">
        <w:rPr>
          <w:lang w:val="en-GB"/>
        </w:rPr>
        <w:lastRenderedPageBreak/>
        <w:t>The main purpose of this policy is to provide clarity to applicants, responsible authorities, elected Members and other persons on how the Council will determine applications made under the Act. It will also inform elected Members of the parameters within which licensing decisions can be made.</w:t>
      </w:r>
    </w:p>
    <w:p w14:paraId="63335544" w14:textId="21FB5C09" w:rsidR="000B0F79" w:rsidRDefault="00FA7D57" w:rsidP="00C91433">
      <w:pPr>
        <w:pStyle w:val="Heading2"/>
        <w:ind w:right="514"/>
        <w:jc w:val="both"/>
      </w:pPr>
      <w:r>
        <w:t xml:space="preserve">What </w:t>
      </w:r>
      <w:r w:rsidR="000B0F79">
        <w:t>We Proposed</w:t>
      </w:r>
    </w:p>
    <w:p w14:paraId="5120E297" w14:textId="0E57F466" w:rsidR="005E6536" w:rsidRPr="0044230E" w:rsidRDefault="005E6536" w:rsidP="005E6536">
      <w:pPr>
        <w:pStyle w:val="BodyText"/>
        <w:ind w:right="-46"/>
        <w:jc w:val="both"/>
        <w:rPr>
          <w:lang w:val="en-GB"/>
        </w:rPr>
      </w:pPr>
      <w:r w:rsidRPr="0044230E">
        <w:rPr>
          <w:lang w:val="en-GB"/>
        </w:rPr>
        <w:t>Our draft SOLP sets out the rules we will consider when granting and enforcing licences and lets businesses</w:t>
      </w:r>
      <w:r>
        <w:rPr>
          <w:lang w:val="en-GB"/>
        </w:rPr>
        <w:t>. organisations</w:t>
      </w:r>
      <w:r w:rsidRPr="0044230E">
        <w:rPr>
          <w:lang w:val="en-GB"/>
        </w:rPr>
        <w:t xml:space="preserve"> </w:t>
      </w:r>
      <w:r>
        <w:rPr>
          <w:lang w:val="en-GB"/>
        </w:rPr>
        <w:t xml:space="preserve">and personal licence holders </w:t>
      </w:r>
      <w:r w:rsidRPr="0044230E">
        <w:rPr>
          <w:lang w:val="en-GB"/>
        </w:rPr>
        <w:t>know how we expect them to operate. It also informs our decisions at any Licensing Committees or Sub-Committees when deciding whether to issue, amend or revoke licences.</w:t>
      </w:r>
    </w:p>
    <w:p w14:paraId="75A1907F" w14:textId="77777777" w:rsidR="005E6536" w:rsidRPr="0044230E" w:rsidRDefault="005E6536" w:rsidP="005E6536">
      <w:pPr>
        <w:pStyle w:val="BodyText"/>
        <w:jc w:val="both"/>
        <w:rPr>
          <w:lang w:val="en-GB"/>
        </w:rPr>
      </w:pPr>
    </w:p>
    <w:p w14:paraId="52314994" w14:textId="77777777" w:rsidR="005E6536" w:rsidRPr="0044230E" w:rsidRDefault="005E6536" w:rsidP="005E6536">
      <w:pPr>
        <w:pStyle w:val="BodyText"/>
        <w:ind w:right="-46"/>
        <w:jc w:val="both"/>
        <w:rPr>
          <w:lang w:val="en-GB"/>
        </w:rPr>
      </w:pPr>
      <w:r w:rsidRPr="0044230E">
        <w:rPr>
          <w:lang w:val="en-GB"/>
        </w:rPr>
        <w:t>The core aim of our policy is to promote the four licensing objectives, as set out in the Licensing Act 2003. These are as follows:</w:t>
      </w:r>
    </w:p>
    <w:p w14:paraId="47E08CE7" w14:textId="77777777" w:rsidR="005E6536" w:rsidRPr="0044230E" w:rsidRDefault="005E6536" w:rsidP="005E6536">
      <w:pPr>
        <w:pStyle w:val="BodyText"/>
        <w:spacing w:before="11"/>
        <w:jc w:val="both"/>
        <w:rPr>
          <w:sz w:val="23"/>
          <w:lang w:val="en-GB"/>
        </w:rPr>
      </w:pPr>
    </w:p>
    <w:p w14:paraId="0C8A6777" w14:textId="77777777" w:rsidR="005E6536" w:rsidRPr="0044230E" w:rsidRDefault="005E6536" w:rsidP="005E6536">
      <w:pPr>
        <w:pStyle w:val="ListParagraph"/>
        <w:widowControl w:val="0"/>
        <w:numPr>
          <w:ilvl w:val="0"/>
          <w:numId w:val="6"/>
        </w:numPr>
        <w:tabs>
          <w:tab w:val="left" w:pos="567"/>
        </w:tabs>
        <w:autoSpaceDE w:val="0"/>
        <w:autoSpaceDN w:val="0"/>
        <w:spacing w:line="293" w:lineRule="exact"/>
        <w:ind w:left="0" w:firstLine="0"/>
        <w:contextualSpacing w:val="0"/>
        <w:jc w:val="both"/>
      </w:pPr>
      <w:r w:rsidRPr="0044230E">
        <w:t>Prevention of crime and</w:t>
      </w:r>
      <w:r w:rsidRPr="0044230E">
        <w:rPr>
          <w:spacing w:val="1"/>
        </w:rPr>
        <w:t xml:space="preserve"> </w:t>
      </w:r>
      <w:r w:rsidRPr="0044230E">
        <w:t>disorder</w:t>
      </w:r>
      <w:r>
        <w:t>.</w:t>
      </w:r>
    </w:p>
    <w:p w14:paraId="34B00923" w14:textId="77777777" w:rsidR="005E6536" w:rsidRPr="0044230E" w:rsidRDefault="005E6536" w:rsidP="005E6536">
      <w:pPr>
        <w:pStyle w:val="ListParagraph"/>
        <w:widowControl w:val="0"/>
        <w:numPr>
          <w:ilvl w:val="0"/>
          <w:numId w:val="6"/>
        </w:numPr>
        <w:tabs>
          <w:tab w:val="left" w:pos="567"/>
        </w:tabs>
        <w:autoSpaceDE w:val="0"/>
        <w:autoSpaceDN w:val="0"/>
        <w:spacing w:line="292" w:lineRule="exact"/>
        <w:ind w:left="0" w:firstLine="0"/>
        <w:contextualSpacing w:val="0"/>
        <w:jc w:val="both"/>
      </w:pPr>
      <w:r w:rsidRPr="0044230E">
        <w:t>Public</w:t>
      </w:r>
      <w:r w:rsidRPr="0044230E">
        <w:rPr>
          <w:spacing w:val="-1"/>
        </w:rPr>
        <w:t xml:space="preserve"> </w:t>
      </w:r>
      <w:r w:rsidRPr="0044230E">
        <w:t>safety</w:t>
      </w:r>
      <w:r>
        <w:t>.</w:t>
      </w:r>
    </w:p>
    <w:p w14:paraId="605B5370" w14:textId="77777777" w:rsidR="005E6536" w:rsidRPr="0044230E" w:rsidRDefault="005E6536" w:rsidP="005E6536">
      <w:pPr>
        <w:pStyle w:val="ListParagraph"/>
        <w:widowControl w:val="0"/>
        <w:numPr>
          <w:ilvl w:val="0"/>
          <w:numId w:val="6"/>
        </w:numPr>
        <w:tabs>
          <w:tab w:val="left" w:pos="567"/>
        </w:tabs>
        <w:autoSpaceDE w:val="0"/>
        <w:autoSpaceDN w:val="0"/>
        <w:spacing w:line="292" w:lineRule="exact"/>
        <w:ind w:left="0" w:firstLine="0"/>
        <w:contextualSpacing w:val="0"/>
        <w:jc w:val="both"/>
      </w:pPr>
      <w:r w:rsidRPr="0044230E">
        <w:t>Prevention of public</w:t>
      </w:r>
      <w:r w:rsidRPr="0044230E">
        <w:rPr>
          <w:spacing w:val="1"/>
        </w:rPr>
        <w:t xml:space="preserve"> </w:t>
      </w:r>
      <w:r w:rsidRPr="0044230E">
        <w:t>nuisance</w:t>
      </w:r>
      <w:r>
        <w:t>.</w:t>
      </w:r>
    </w:p>
    <w:p w14:paraId="2A9CD3B8" w14:textId="77777777" w:rsidR="005E6536" w:rsidRPr="0044230E" w:rsidRDefault="005E6536" w:rsidP="005E6536">
      <w:pPr>
        <w:pStyle w:val="ListParagraph"/>
        <w:widowControl w:val="0"/>
        <w:numPr>
          <w:ilvl w:val="0"/>
          <w:numId w:val="6"/>
        </w:numPr>
        <w:tabs>
          <w:tab w:val="left" w:pos="567"/>
        </w:tabs>
        <w:autoSpaceDE w:val="0"/>
        <w:autoSpaceDN w:val="0"/>
        <w:spacing w:line="293" w:lineRule="exact"/>
        <w:ind w:left="0" w:firstLine="0"/>
        <w:contextualSpacing w:val="0"/>
        <w:jc w:val="both"/>
      </w:pPr>
      <w:r w:rsidRPr="0044230E">
        <w:t>Protection of children from</w:t>
      </w:r>
      <w:r w:rsidRPr="0044230E">
        <w:rPr>
          <w:spacing w:val="1"/>
        </w:rPr>
        <w:t xml:space="preserve"> </w:t>
      </w:r>
      <w:r w:rsidRPr="0044230E">
        <w:t>harm</w:t>
      </w:r>
      <w:r>
        <w:t>.</w:t>
      </w:r>
    </w:p>
    <w:p w14:paraId="5D730020" w14:textId="77777777" w:rsidR="005E6536" w:rsidRPr="0044230E" w:rsidRDefault="005E6536" w:rsidP="005E6536">
      <w:pPr>
        <w:pStyle w:val="BodyText"/>
        <w:spacing w:before="11"/>
        <w:jc w:val="both"/>
        <w:rPr>
          <w:sz w:val="23"/>
          <w:lang w:val="en-GB"/>
        </w:rPr>
      </w:pPr>
    </w:p>
    <w:p w14:paraId="1FD8B401" w14:textId="77777777" w:rsidR="005E6536" w:rsidRPr="0044230E" w:rsidRDefault="005E6536" w:rsidP="005E6536">
      <w:pPr>
        <w:pStyle w:val="BodyText"/>
        <w:ind w:right="-46"/>
        <w:jc w:val="both"/>
        <w:rPr>
          <w:lang w:val="en-GB"/>
        </w:rPr>
      </w:pPr>
      <w:r w:rsidRPr="0044230E">
        <w:rPr>
          <w:lang w:val="en-GB"/>
        </w:rPr>
        <w:t>Our draft SOLP has been updated to reflect recent changes to the law and updated guidance on licensing. The key changes relate to:</w:t>
      </w:r>
    </w:p>
    <w:p w14:paraId="577E3ED0" w14:textId="77777777" w:rsidR="005E6536" w:rsidRPr="0044230E" w:rsidRDefault="005E6536" w:rsidP="005E6536">
      <w:pPr>
        <w:pStyle w:val="BodyText"/>
        <w:spacing w:before="11"/>
        <w:rPr>
          <w:sz w:val="23"/>
          <w:lang w:val="en-GB"/>
        </w:rPr>
      </w:pPr>
    </w:p>
    <w:p w14:paraId="213C9119" w14:textId="77777777" w:rsidR="005E6536" w:rsidRPr="0044230E" w:rsidRDefault="005E6536" w:rsidP="005E6536">
      <w:pPr>
        <w:pStyle w:val="ListParagraph"/>
        <w:widowControl w:val="0"/>
        <w:numPr>
          <w:ilvl w:val="0"/>
          <w:numId w:val="6"/>
        </w:numPr>
        <w:tabs>
          <w:tab w:val="left" w:pos="567"/>
        </w:tabs>
        <w:autoSpaceDE w:val="0"/>
        <w:autoSpaceDN w:val="0"/>
        <w:spacing w:line="293" w:lineRule="exact"/>
        <w:ind w:left="0" w:firstLine="0"/>
        <w:contextualSpacing w:val="0"/>
        <w:jc w:val="both"/>
      </w:pPr>
      <w:r w:rsidRPr="0044230E">
        <w:t>Agent of Change</w:t>
      </w:r>
      <w:r w:rsidRPr="0044230E">
        <w:rPr>
          <w:spacing w:val="1"/>
        </w:rPr>
        <w:t xml:space="preserve"> </w:t>
      </w:r>
      <w:r w:rsidRPr="0044230E">
        <w:t>Principles</w:t>
      </w:r>
      <w:r>
        <w:t>.</w:t>
      </w:r>
    </w:p>
    <w:p w14:paraId="2B973643" w14:textId="77777777" w:rsidR="005E6536" w:rsidRPr="0044230E" w:rsidRDefault="005E6536" w:rsidP="005E6536">
      <w:pPr>
        <w:pStyle w:val="ListParagraph"/>
        <w:widowControl w:val="0"/>
        <w:numPr>
          <w:ilvl w:val="0"/>
          <w:numId w:val="6"/>
        </w:numPr>
        <w:tabs>
          <w:tab w:val="left" w:pos="567"/>
        </w:tabs>
        <w:autoSpaceDE w:val="0"/>
        <w:autoSpaceDN w:val="0"/>
        <w:spacing w:line="292" w:lineRule="exact"/>
        <w:ind w:left="1418" w:hanging="1418"/>
        <w:contextualSpacing w:val="0"/>
        <w:jc w:val="both"/>
      </w:pPr>
      <w:r w:rsidRPr="0044230E">
        <w:t>Amendments to Temporary Event Notices in line with legislative</w:t>
      </w:r>
      <w:r w:rsidRPr="0044230E">
        <w:rPr>
          <w:spacing w:val="-10"/>
        </w:rPr>
        <w:t xml:space="preserve"> </w:t>
      </w:r>
      <w:r w:rsidRPr="0044230E">
        <w:t>changes</w:t>
      </w:r>
      <w:r>
        <w:t>.</w:t>
      </w:r>
    </w:p>
    <w:p w14:paraId="63097B6F" w14:textId="77777777" w:rsidR="005E6536" w:rsidRPr="0044230E" w:rsidRDefault="005E6536" w:rsidP="005E6536">
      <w:pPr>
        <w:pStyle w:val="ListParagraph"/>
        <w:widowControl w:val="0"/>
        <w:numPr>
          <w:ilvl w:val="0"/>
          <w:numId w:val="6"/>
        </w:numPr>
        <w:tabs>
          <w:tab w:val="left" w:pos="567"/>
        </w:tabs>
        <w:autoSpaceDE w:val="0"/>
        <w:autoSpaceDN w:val="0"/>
        <w:ind w:left="567" w:right="1782" w:hanging="567"/>
        <w:contextualSpacing w:val="0"/>
        <w:jc w:val="both"/>
      </w:pPr>
      <w:r w:rsidRPr="0044230E">
        <w:t xml:space="preserve">Reference to current initiatives/ campaigns to </w:t>
      </w:r>
      <w:r>
        <w:t>s</w:t>
      </w:r>
      <w:r w:rsidRPr="0044230E">
        <w:t>afeguard</w:t>
      </w:r>
      <w:r>
        <w:t xml:space="preserve"> c</w:t>
      </w:r>
      <w:r w:rsidRPr="0044230E">
        <w:t>ustomers in licensed</w:t>
      </w:r>
      <w:r w:rsidRPr="0044230E">
        <w:rPr>
          <w:spacing w:val="-1"/>
        </w:rPr>
        <w:t xml:space="preserve"> </w:t>
      </w:r>
      <w:r w:rsidRPr="0044230E">
        <w:t>premises</w:t>
      </w:r>
      <w:r>
        <w:t>.</w:t>
      </w:r>
    </w:p>
    <w:p w14:paraId="7DD13C05" w14:textId="77777777" w:rsidR="005E6536" w:rsidRPr="0044230E" w:rsidRDefault="005E6536" w:rsidP="005E6536">
      <w:pPr>
        <w:pStyle w:val="ListParagraph"/>
        <w:widowControl w:val="0"/>
        <w:numPr>
          <w:ilvl w:val="0"/>
          <w:numId w:val="6"/>
        </w:numPr>
        <w:tabs>
          <w:tab w:val="left" w:pos="567"/>
        </w:tabs>
        <w:autoSpaceDE w:val="0"/>
        <w:autoSpaceDN w:val="0"/>
        <w:spacing w:line="293" w:lineRule="exact"/>
        <w:ind w:left="0" w:firstLine="0"/>
        <w:contextualSpacing w:val="0"/>
        <w:jc w:val="both"/>
      </w:pPr>
      <w:r w:rsidRPr="0044230E">
        <w:t>Updated delegations as agreed by the Committee on 8 November</w:t>
      </w:r>
      <w:r w:rsidRPr="0044230E">
        <w:rPr>
          <w:spacing w:val="-11"/>
        </w:rPr>
        <w:t xml:space="preserve"> </w:t>
      </w:r>
      <w:r w:rsidRPr="0044230E">
        <w:t>2021</w:t>
      </w:r>
      <w:r>
        <w:t>.</w:t>
      </w:r>
    </w:p>
    <w:p w14:paraId="6A084C6B" w14:textId="6B009430" w:rsidR="00FA7D57" w:rsidRPr="00FA7D57" w:rsidRDefault="00FA7D57" w:rsidP="005E6536"/>
    <w:p w14:paraId="03E09D40" w14:textId="061A54D6" w:rsidR="00A767D1" w:rsidRDefault="00A767D1" w:rsidP="00C91433">
      <w:pPr>
        <w:pStyle w:val="Heading2"/>
        <w:ind w:right="514"/>
        <w:jc w:val="both"/>
      </w:pPr>
      <w:r>
        <w:t xml:space="preserve">Why We Wanted Your Views </w:t>
      </w:r>
    </w:p>
    <w:p w14:paraId="417173DA" w14:textId="77777777" w:rsidR="00FA7D57" w:rsidRDefault="00FA7D57" w:rsidP="00FA7D57">
      <w:pPr>
        <w:ind w:right="514"/>
        <w:jc w:val="both"/>
      </w:pPr>
      <w:r>
        <w:t xml:space="preserve">We'd like your views on our draft SOLP, in particular if it is clear, easy to understand, promotes the four objectives of the Licensing Act 2003 and is relevant to West Berkshire. </w:t>
      </w:r>
    </w:p>
    <w:p w14:paraId="2DC88183" w14:textId="77777777" w:rsidR="00FA7D57" w:rsidRDefault="00FA7D57" w:rsidP="00FA7D57">
      <w:pPr>
        <w:ind w:right="514"/>
        <w:jc w:val="both"/>
      </w:pPr>
    </w:p>
    <w:p w14:paraId="694D0B82" w14:textId="673210BA" w:rsidR="00897A24" w:rsidRDefault="00FA7D57" w:rsidP="00FA7D57">
      <w:pPr>
        <w:ind w:right="514"/>
        <w:jc w:val="both"/>
      </w:pPr>
      <w:r>
        <w:t>We also want to know if you think that we're planning on taking the right action, and if there is anything we've missed. Our draft SOLP potentially effects everyone who operates a licensed premises, residents, other businesses, and public authorities in our district, we therefore want to make sure that the widest possible number of people are able to comment before it is finalised.</w:t>
      </w:r>
    </w:p>
    <w:p w14:paraId="4B5B4871" w14:textId="77777777" w:rsidR="000E01FB" w:rsidRDefault="000B4F06" w:rsidP="00C91433">
      <w:pPr>
        <w:pStyle w:val="Heading2"/>
        <w:ind w:right="514"/>
        <w:jc w:val="both"/>
        <w:rPr>
          <w:b w:val="0"/>
        </w:rPr>
      </w:pPr>
      <w:r w:rsidRPr="000E01FB">
        <w:lastRenderedPageBreak/>
        <w:t>Who</w:t>
      </w:r>
      <w:r w:rsidR="002E30C4">
        <w:t xml:space="preserve"> and How </w:t>
      </w:r>
      <w:r w:rsidR="002E30C4" w:rsidRPr="000E01FB">
        <w:t>we</w:t>
      </w:r>
      <w:r w:rsidRPr="000E01FB">
        <w:t xml:space="preserve"> Consulted</w:t>
      </w:r>
      <w:r w:rsidR="000E01FB">
        <w:rPr>
          <w:b w:val="0"/>
        </w:rPr>
        <w:t xml:space="preserve"> </w:t>
      </w:r>
    </w:p>
    <w:p w14:paraId="0C4E7DA6" w14:textId="77777777" w:rsidR="00D7265C" w:rsidRDefault="00D7265C" w:rsidP="00C91433">
      <w:pPr>
        <w:ind w:right="514"/>
        <w:jc w:val="both"/>
      </w:pPr>
    </w:p>
    <w:p w14:paraId="41879A1B" w14:textId="77777777" w:rsidR="005E6536" w:rsidRPr="00A84F00" w:rsidRDefault="005E6536" w:rsidP="005E6536">
      <w:pPr>
        <w:pStyle w:val="ListParagraph"/>
        <w:numPr>
          <w:ilvl w:val="0"/>
          <w:numId w:val="3"/>
        </w:numPr>
        <w:ind w:left="567" w:hanging="567"/>
        <w:jc w:val="both"/>
      </w:pPr>
      <w:r w:rsidRPr="00A84F00">
        <w:t>The consultation ran from 12 July 2023 to 20 September 2023.</w:t>
      </w:r>
    </w:p>
    <w:p w14:paraId="0A2FE79C" w14:textId="77777777" w:rsidR="005E6536" w:rsidRDefault="005E6536" w:rsidP="005E6536">
      <w:pPr>
        <w:pStyle w:val="ListParagraph"/>
        <w:numPr>
          <w:ilvl w:val="0"/>
          <w:numId w:val="3"/>
        </w:numPr>
        <w:ind w:left="567" w:hanging="567"/>
        <w:jc w:val="both"/>
      </w:pPr>
      <w:r>
        <w:t>It was also posted on the Council’s Consultation Hub on the 12 July 2023 and on the PPP Website on the same day.</w:t>
      </w:r>
    </w:p>
    <w:p w14:paraId="6AD5116E" w14:textId="77777777" w:rsidR="005E6536" w:rsidRDefault="005E6536" w:rsidP="005E6536">
      <w:pPr>
        <w:pStyle w:val="ListParagraph"/>
        <w:numPr>
          <w:ilvl w:val="0"/>
          <w:numId w:val="3"/>
        </w:numPr>
        <w:ind w:left="567" w:hanging="567"/>
        <w:jc w:val="both"/>
      </w:pPr>
      <w:r>
        <w:t>A notification was also sent out to the 2,537 people on the Community Panel</w:t>
      </w:r>
    </w:p>
    <w:p w14:paraId="0B0A86ED" w14:textId="6219E629" w:rsidR="005E6536" w:rsidRDefault="005E6536" w:rsidP="005E6536">
      <w:pPr>
        <w:pStyle w:val="ListParagraph"/>
        <w:numPr>
          <w:ilvl w:val="0"/>
          <w:numId w:val="3"/>
        </w:numPr>
        <w:ind w:left="567" w:hanging="567"/>
        <w:jc w:val="both"/>
      </w:pPr>
      <w:r w:rsidRPr="006F683A">
        <w:t xml:space="preserve">In accordance with the requirement set out </w:t>
      </w:r>
      <w:r w:rsidRPr="00A84F00">
        <w:t xml:space="preserve">in section 5(3) </w:t>
      </w:r>
      <w:r w:rsidRPr="006F683A">
        <w:t>Licensing Act we consulted</w:t>
      </w:r>
      <w:r>
        <w:t>:</w:t>
      </w:r>
    </w:p>
    <w:p w14:paraId="059E4F2A" w14:textId="77777777" w:rsidR="005E6536" w:rsidRDefault="005E6536" w:rsidP="005E6536">
      <w:pPr>
        <w:pStyle w:val="ListParagraph"/>
        <w:ind w:left="567"/>
        <w:jc w:val="both"/>
      </w:pPr>
    </w:p>
    <w:p w14:paraId="2DE6DD2F" w14:textId="77777777" w:rsidR="005E6536" w:rsidRPr="00A84F00" w:rsidRDefault="005E6536" w:rsidP="005E6536">
      <w:pPr>
        <w:pStyle w:val="ListParagraph"/>
        <w:numPr>
          <w:ilvl w:val="0"/>
          <w:numId w:val="7"/>
        </w:numPr>
        <w:ind w:left="714" w:hanging="357"/>
        <w:jc w:val="both"/>
      </w:pPr>
      <w:r w:rsidRPr="00A84F00">
        <w:t>The chief officer of police for the area;</w:t>
      </w:r>
    </w:p>
    <w:p w14:paraId="0CC01890" w14:textId="77777777" w:rsidR="005E6536" w:rsidRPr="00A84F00" w:rsidRDefault="005E6536" w:rsidP="005E6536">
      <w:pPr>
        <w:numPr>
          <w:ilvl w:val="0"/>
          <w:numId w:val="7"/>
        </w:numPr>
        <w:ind w:left="714" w:hanging="357"/>
        <w:contextualSpacing/>
      </w:pPr>
      <w:r w:rsidRPr="00A84F00">
        <w:t>The fire and rescue authority for the area;</w:t>
      </w:r>
    </w:p>
    <w:p w14:paraId="407B008A" w14:textId="77777777" w:rsidR="005E6536" w:rsidRPr="00A84F00" w:rsidRDefault="005E6536" w:rsidP="005E6536">
      <w:pPr>
        <w:numPr>
          <w:ilvl w:val="0"/>
          <w:numId w:val="7"/>
        </w:numPr>
        <w:ind w:left="714" w:hanging="357"/>
        <w:contextualSpacing/>
      </w:pPr>
      <w:r w:rsidRPr="00A84F00">
        <w:t>Persons or bodies representative of holders of local personal licences, premises licences and club premises certificates;</w:t>
      </w:r>
    </w:p>
    <w:p w14:paraId="49D078C3" w14:textId="77777777" w:rsidR="005E6536" w:rsidRDefault="005E6536" w:rsidP="005E6536">
      <w:pPr>
        <w:numPr>
          <w:ilvl w:val="0"/>
          <w:numId w:val="7"/>
        </w:numPr>
        <w:ind w:left="714" w:hanging="357"/>
        <w:contextualSpacing/>
      </w:pPr>
      <w:r w:rsidRPr="00A84F00">
        <w:t>Persons or bodies representative of businesses and residents in its area.</w:t>
      </w:r>
    </w:p>
    <w:p w14:paraId="7FDD8E62" w14:textId="77777777" w:rsidR="005E6536" w:rsidRPr="00A84F00" w:rsidRDefault="005E6536" w:rsidP="005E6536">
      <w:pPr>
        <w:ind w:left="714"/>
        <w:contextualSpacing/>
      </w:pPr>
    </w:p>
    <w:p w14:paraId="5DB5A761" w14:textId="77777777" w:rsidR="005E6536" w:rsidRDefault="005E6536" w:rsidP="005E6536">
      <w:pPr>
        <w:pStyle w:val="ListParagraph"/>
        <w:numPr>
          <w:ilvl w:val="0"/>
          <w:numId w:val="3"/>
        </w:numPr>
        <w:ind w:left="567" w:hanging="567"/>
        <w:jc w:val="both"/>
      </w:pPr>
      <w:r w:rsidRPr="006F683A">
        <w:t xml:space="preserve">In addition we also wrote to elected members, parish </w:t>
      </w:r>
      <w:r>
        <w:t xml:space="preserve">and town </w:t>
      </w:r>
      <w:r w:rsidRPr="006F683A">
        <w:t>councils</w:t>
      </w:r>
      <w:r>
        <w:t>, officers within the authority, the Health and Safety Executive, the Home Office and the organisations listed in Appendix A of the draft policy.</w:t>
      </w:r>
    </w:p>
    <w:p w14:paraId="65B0622E" w14:textId="587F0DF7" w:rsidR="002E30C4" w:rsidRDefault="005E6536" w:rsidP="005E6536">
      <w:pPr>
        <w:pStyle w:val="ListParagraph"/>
        <w:numPr>
          <w:ilvl w:val="0"/>
          <w:numId w:val="3"/>
        </w:numPr>
        <w:ind w:left="567" w:right="514" w:hanging="567"/>
        <w:jc w:val="both"/>
      </w:pPr>
      <w:r>
        <w:t>A press release was issued on the 13</w:t>
      </w:r>
      <w:r w:rsidRPr="006F683A">
        <w:rPr>
          <w:vertAlign w:val="superscript"/>
        </w:rPr>
        <w:t>th</w:t>
      </w:r>
      <w:r>
        <w:t xml:space="preserve"> July 2023 and a number of reminder were put out on social media on the day it was launched and subsequent reminders to draw attention to the consultation</w:t>
      </w:r>
      <w:r w:rsidR="002E30C4">
        <w:t>.</w:t>
      </w:r>
    </w:p>
    <w:p w14:paraId="3AB361D7" w14:textId="5AA59776" w:rsidR="000B4F06" w:rsidRDefault="000B4F06" w:rsidP="00C91433">
      <w:pPr>
        <w:pStyle w:val="Heading2"/>
        <w:ind w:right="514"/>
        <w:jc w:val="both"/>
      </w:pPr>
      <w:r>
        <w:t xml:space="preserve">What you Told Us </w:t>
      </w:r>
    </w:p>
    <w:p w14:paraId="4A09F77F" w14:textId="77777777" w:rsidR="00FC5D43" w:rsidRDefault="00FC5D43" w:rsidP="00C91433">
      <w:pPr>
        <w:ind w:right="514"/>
        <w:jc w:val="both"/>
      </w:pPr>
    </w:p>
    <w:p w14:paraId="0EBBE943" w14:textId="44D3418D" w:rsidR="007E055B" w:rsidRDefault="00235A74" w:rsidP="00C91433">
      <w:pPr>
        <w:ind w:right="514"/>
        <w:jc w:val="both"/>
      </w:pPr>
      <w:r w:rsidRPr="00970C0A">
        <w:t xml:space="preserve">The Council received </w:t>
      </w:r>
      <w:r w:rsidR="004815FF" w:rsidRPr="00970C0A">
        <w:t>47</w:t>
      </w:r>
      <w:r w:rsidR="008A3C7A" w:rsidRPr="00970C0A">
        <w:t xml:space="preserve"> responses to the consultation. </w:t>
      </w:r>
      <w:r w:rsidR="004815FF" w:rsidRPr="00970C0A">
        <w:t xml:space="preserve">Of those responses 44 </w:t>
      </w:r>
      <w:r w:rsidR="00970C0A" w:rsidRPr="00970C0A">
        <w:t>were submitted</w:t>
      </w:r>
      <w:r w:rsidR="004815FF" w:rsidRPr="00970C0A">
        <w:t xml:space="preserve"> via the consultation portal and three were sent directly to officers</w:t>
      </w:r>
      <w:r w:rsidR="00970C0A">
        <w:t>.</w:t>
      </w:r>
    </w:p>
    <w:p w14:paraId="140FDB9C" w14:textId="77777777" w:rsidR="008A3C7A" w:rsidRDefault="008A3C7A" w:rsidP="00C91433">
      <w:pPr>
        <w:ind w:right="514"/>
        <w:jc w:val="both"/>
      </w:pPr>
    </w:p>
    <w:tbl>
      <w:tblPr>
        <w:tblStyle w:val="TableGrid"/>
        <w:tblW w:w="0" w:type="auto"/>
        <w:tblLook w:val="04A0" w:firstRow="1" w:lastRow="0" w:firstColumn="1" w:lastColumn="0" w:noHBand="0" w:noVBand="1"/>
      </w:tblPr>
      <w:tblGrid>
        <w:gridCol w:w="7650"/>
        <w:gridCol w:w="6520"/>
      </w:tblGrid>
      <w:tr w:rsidR="008A3C7A" w14:paraId="22D2D085" w14:textId="77777777" w:rsidTr="004815FF">
        <w:tc>
          <w:tcPr>
            <w:tcW w:w="7650" w:type="dxa"/>
          </w:tcPr>
          <w:p w14:paraId="364BC2DF" w14:textId="77777777" w:rsidR="008A3C7A" w:rsidRPr="007529F3" w:rsidRDefault="008A3C7A" w:rsidP="00D553C2">
            <w:pPr>
              <w:rPr>
                <w:rFonts w:ascii="Arial" w:hAnsi="Arial" w:cs="Arial"/>
              </w:rPr>
            </w:pPr>
            <w:r>
              <w:rPr>
                <w:rFonts w:ascii="Arial" w:hAnsi="Arial" w:cs="Arial"/>
              </w:rPr>
              <w:t>WBC Premise Licence Holder</w:t>
            </w:r>
          </w:p>
        </w:tc>
        <w:tc>
          <w:tcPr>
            <w:tcW w:w="6520" w:type="dxa"/>
          </w:tcPr>
          <w:p w14:paraId="137FA467" w14:textId="7E2AE645" w:rsidR="008A3C7A" w:rsidRDefault="004815FF" w:rsidP="00D553C2">
            <w:pPr>
              <w:rPr>
                <w:rFonts w:ascii="Arial" w:hAnsi="Arial" w:cs="Arial"/>
                <w:b/>
              </w:rPr>
            </w:pPr>
            <w:r>
              <w:rPr>
                <w:rFonts w:ascii="Arial" w:hAnsi="Arial" w:cs="Arial"/>
                <w:b/>
              </w:rPr>
              <w:t>7</w:t>
            </w:r>
          </w:p>
        </w:tc>
      </w:tr>
      <w:tr w:rsidR="008A3C7A" w14:paraId="05DFDB6C" w14:textId="77777777" w:rsidTr="004815FF">
        <w:tc>
          <w:tcPr>
            <w:tcW w:w="7650" w:type="dxa"/>
          </w:tcPr>
          <w:p w14:paraId="0C9654A3" w14:textId="77777777" w:rsidR="008A3C7A" w:rsidRPr="007529F3" w:rsidRDefault="008A3C7A" w:rsidP="00D553C2">
            <w:pPr>
              <w:rPr>
                <w:rFonts w:ascii="Arial" w:hAnsi="Arial" w:cs="Arial"/>
              </w:rPr>
            </w:pPr>
            <w:r>
              <w:rPr>
                <w:rFonts w:ascii="Arial" w:hAnsi="Arial" w:cs="Arial"/>
              </w:rPr>
              <w:t>WBC Personal Licence Holder</w:t>
            </w:r>
          </w:p>
        </w:tc>
        <w:tc>
          <w:tcPr>
            <w:tcW w:w="6520" w:type="dxa"/>
          </w:tcPr>
          <w:p w14:paraId="7E39AE47" w14:textId="2907B38F" w:rsidR="008A3C7A" w:rsidRDefault="004815FF" w:rsidP="00D553C2">
            <w:pPr>
              <w:rPr>
                <w:rFonts w:ascii="Arial" w:hAnsi="Arial" w:cs="Arial"/>
                <w:b/>
              </w:rPr>
            </w:pPr>
            <w:r>
              <w:rPr>
                <w:rFonts w:ascii="Arial" w:hAnsi="Arial" w:cs="Arial"/>
                <w:b/>
              </w:rPr>
              <w:t>1</w:t>
            </w:r>
          </w:p>
        </w:tc>
      </w:tr>
      <w:tr w:rsidR="008A3C7A" w14:paraId="123F7D5E" w14:textId="77777777" w:rsidTr="004815FF">
        <w:tc>
          <w:tcPr>
            <w:tcW w:w="7650" w:type="dxa"/>
          </w:tcPr>
          <w:p w14:paraId="77F17B00" w14:textId="77777777" w:rsidR="008A3C7A" w:rsidRPr="007529F3" w:rsidRDefault="008A3C7A" w:rsidP="00D553C2">
            <w:pPr>
              <w:rPr>
                <w:rFonts w:ascii="Arial" w:hAnsi="Arial" w:cs="Arial"/>
              </w:rPr>
            </w:pPr>
            <w:r>
              <w:rPr>
                <w:rFonts w:ascii="Arial" w:hAnsi="Arial" w:cs="Arial"/>
              </w:rPr>
              <w:t>WBC Club Premises Certificate Holder</w:t>
            </w:r>
          </w:p>
        </w:tc>
        <w:tc>
          <w:tcPr>
            <w:tcW w:w="6520" w:type="dxa"/>
          </w:tcPr>
          <w:p w14:paraId="060894C2" w14:textId="7ED9000A" w:rsidR="008A3C7A" w:rsidRDefault="004815FF" w:rsidP="00D553C2">
            <w:pPr>
              <w:rPr>
                <w:rFonts w:ascii="Arial" w:hAnsi="Arial" w:cs="Arial"/>
                <w:b/>
              </w:rPr>
            </w:pPr>
            <w:r>
              <w:rPr>
                <w:rFonts w:ascii="Arial" w:hAnsi="Arial" w:cs="Arial"/>
                <w:b/>
              </w:rPr>
              <w:t>0</w:t>
            </w:r>
          </w:p>
        </w:tc>
      </w:tr>
      <w:tr w:rsidR="008A3C7A" w14:paraId="4F38EB4D" w14:textId="77777777" w:rsidTr="004815FF">
        <w:tc>
          <w:tcPr>
            <w:tcW w:w="7650" w:type="dxa"/>
          </w:tcPr>
          <w:p w14:paraId="28B93D0A" w14:textId="77777777" w:rsidR="008A3C7A" w:rsidRPr="007529F3" w:rsidRDefault="008A3C7A" w:rsidP="00D553C2">
            <w:pPr>
              <w:rPr>
                <w:rFonts w:ascii="Arial" w:hAnsi="Arial" w:cs="Arial"/>
              </w:rPr>
            </w:pPr>
            <w:r>
              <w:rPr>
                <w:rFonts w:ascii="Arial" w:hAnsi="Arial" w:cs="Arial"/>
              </w:rPr>
              <w:t>WBC DPS</w:t>
            </w:r>
          </w:p>
        </w:tc>
        <w:tc>
          <w:tcPr>
            <w:tcW w:w="6520" w:type="dxa"/>
          </w:tcPr>
          <w:p w14:paraId="656783D2" w14:textId="65E36C21" w:rsidR="008A3C7A" w:rsidRDefault="004815FF" w:rsidP="00D553C2">
            <w:pPr>
              <w:rPr>
                <w:rFonts w:ascii="Arial" w:hAnsi="Arial" w:cs="Arial"/>
                <w:b/>
              </w:rPr>
            </w:pPr>
            <w:r>
              <w:rPr>
                <w:rFonts w:ascii="Arial" w:hAnsi="Arial" w:cs="Arial"/>
                <w:b/>
              </w:rPr>
              <w:t>0</w:t>
            </w:r>
          </w:p>
        </w:tc>
      </w:tr>
      <w:tr w:rsidR="008A3C7A" w14:paraId="6A43A71F" w14:textId="77777777" w:rsidTr="004815FF">
        <w:tc>
          <w:tcPr>
            <w:tcW w:w="7650" w:type="dxa"/>
          </w:tcPr>
          <w:p w14:paraId="55A7C4E9" w14:textId="77777777" w:rsidR="008A3C7A" w:rsidRDefault="008A3C7A" w:rsidP="00D553C2">
            <w:pPr>
              <w:rPr>
                <w:rFonts w:ascii="Arial" w:hAnsi="Arial" w:cs="Arial"/>
              </w:rPr>
            </w:pPr>
            <w:r>
              <w:rPr>
                <w:rFonts w:ascii="Arial" w:hAnsi="Arial" w:cs="Arial"/>
              </w:rPr>
              <w:t>The Owner of a Licensed Premises</w:t>
            </w:r>
          </w:p>
        </w:tc>
        <w:tc>
          <w:tcPr>
            <w:tcW w:w="6520" w:type="dxa"/>
          </w:tcPr>
          <w:p w14:paraId="2039F39E" w14:textId="60B8086D" w:rsidR="008A3C7A" w:rsidRDefault="004815FF" w:rsidP="00D553C2">
            <w:pPr>
              <w:rPr>
                <w:rFonts w:ascii="Arial" w:hAnsi="Arial" w:cs="Arial"/>
                <w:b/>
              </w:rPr>
            </w:pPr>
            <w:r>
              <w:rPr>
                <w:rFonts w:ascii="Arial" w:hAnsi="Arial" w:cs="Arial"/>
                <w:b/>
              </w:rPr>
              <w:t>1</w:t>
            </w:r>
          </w:p>
        </w:tc>
      </w:tr>
      <w:tr w:rsidR="008A3C7A" w14:paraId="014B60F4" w14:textId="77777777" w:rsidTr="004815FF">
        <w:tc>
          <w:tcPr>
            <w:tcW w:w="7650" w:type="dxa"/>
          </w:tcPr>
          <w:p w14:paraId="406F4F57" w14:textId="77777777" w:rsidR="008A3C7A" w:rsidRPr="007529F3" w:rsidRDefault="008A3C7A" w:rsidP="00D553C2">
            <w:pPr>
              <w:rPr>
                <w:rFonts w:ascii="Arial" w:hAnsi="Arial" w:cs="Arial"/>
              </w:rPr>
            </w:pPr>
            <w:r>
              <w:rPr>
                <w:rFonts w:ascii="Arial" w:hAnsi="Arial" w:cs="Arial"/>
              </w:rPr>
              <w:t xml:space="preserve">WBC </w:t>
            </w:r>
            <w:r w:rsidRPr="007529F3">
              <w:rPr>
                <w:rFonts w:ascii="Arial" w:hAnsi="Arial" w:cs="Arial"/>
              </w:rPr>
              <w:t>Council Officer/Team – please specify</w:t>
            </w:r>
            <w:r>
              <w:rPr>
                <w:rFonts w:ascii="Arial" w:hAnsi="Arial" w:cs="Arial"/>
              </w:rPr>
              <w:t xml:space="preserve"> *</w:t>
            </w:r>
          </w:p>
        </w:tc>
        <w:tc>
          <w:tcPr>
            <w:tcW w:w="6520" w:type="dxa"/>
          </w:tcPr>
          <w:p w14:paraId="094398D9" w14:textId="7DAC5E2A" w:rsidR="008A3C7A" w:rsidRDefault="00587206" w:rsidP="00D553C2">
            <w:pPr>
              <w:rPr>
                <w:rFonts w:ascii="Arial" w:hAnsi="Arial" w:cs="Arial"/>
                <w:b/>
              </w:rPr>
            </w:pPr>
            <w:r>
              <w:rPr>
                <w:rFonts w:ascii="Arial" w:hAnsi="Arial" w:cs="Arial"/>
                <w:b/>
              </w:rPr>
              <w:t xml:space="preserve">4 </w:t>
            </w:r>
            <w:r w:rsidRPr="00587206">
              <w:rPr>
                <w:rFonts w:ascii="Arial" w:hAnsi="Arial" w:cs="Arial"/>
                <w:bCs/>
              </w:rPr>
              <w:t xml:space="preserve">(Environmental Protection, Building Communities Team and </w:t>
            </w:r>
            <w:r>
              <w:rPr>
                <w:rFonts w:ascii="Arial" w:hAnsi="Arial" w:cs="Arial"/>
                <w:bCs/>
              </w:rPr>
              <w:t>two</w:t>
            </w:r>
            <w:r w:rsidRPr="00587206">
              <w:rPr>
                <w:rFonts w:ascii="Arial" w:hAnsi="Arial" w:cs="Arial"/>
                <w:bCs/>
              </w:rPr>
              <w:t xml:space="preserve"> </w:t>
            </w:r>
            <w:r>
              <w:rPr>
                <w:rFonts w:ascii="Arial" w:hAnsi="Arial" w:cs="Arial"/>
                <w:bCs/>
              </w:rPr>
              <w:t>ot</w:t>
            </w:r>
            <w:r w:rsidRPr="00587206">
              <w:rPr>
                <w:rFonts w:ascii="Arial" w:hAnsi="Arial" w:cs="Arial"/>
                <w:bCs/>
              </w:rPr>
              <w:t>he</w:t>
            </w:r>
            <w:r>
              <w:rPr>
                <w:rFonts w:ascii="Arial" w:hAnsi="Arial" w:cs="Arial"/>
                <w:bCs/>
              </w:rPr>
              <w:t>rs)</w:t>
            </w:r>
          </w:p>
        </w:tc>
      </w:tr>
      <w:tr w:rsidR="008A3C7A" w14:paraId="6D64F70A" w14:textId="77777777" w:rsidTr="004815FF">
        <w:tc>
          <w:tcPr>
            <w:tcW w:w="7650" w:type="dxa"/>
          </w:tcPr>
          <w:p w14:paraId="43D312E2" w14:textId="77777777" w:rsidR="008A3C7A" w:rsidRPr="007529F3" w:rsidRDefault="008A3C7A" w:rsidP="00D553C2">
            <w:pPr>
              <w:rPr>
                <w:rFonts w:ascii="Arial" w:hAnsi="Arial" w:cs="Arial"/>
              </w:rPr>
            </w:pPr>
            <w:r>
              <w:rPr>
                <w:rFonts w:ascii="Arial" w:hAnsi="Arial" w:cs="Arial"/>
              </w:rPr>
              <w:t>Parish/Town Council or Councillor</w:t>
            </w:r>
          </w:p>
        </w:tc>
        <w:tc>
          <w:tcPr>
            <w:tcW w:w="6520" w:type="dxa"/>
          </w:tcPr>
          <w:p w14:paraId="13884252" w14:textId="11FB9C89" w:rsidR="008A3C7A" w:rsidRDefault="00587206" w:rsidP="00D553C2">
            <w:pPr>
              <w:rPr>
                <w:rFonts w:ascii="Arial" w:hAnsi="Arial" w:cs="Arial"/>
                <w:b/>
              </w:rPr>
            </w:pPr>
            <w:r>
              <w:rPr>
                <w:rFonts w:ascii="Arial" w:hAnsi="Arial" w:cs="Arial"/>
                <w:b/>
              </w:rPr>
              <w:t>6</w:t>
            </w:r>
          </w:p>
        </w:tc>
      </w:tr>
      <w:tr w:rsidR="008A3C7A" w14:paraId="4D7D1F31" w14:textId="77777777" w:rsidTr="004815FF">
        <w:tc>
          <w:tcPr>
            <w:tcW w:w="7650" w:type="dxa"/>
          </w:tcPr>
          <w:p w14:paraId="55661DC3" w14:textId="77777777" w:rsidR="008A3C7A" w:rsidRDefault="008A3C7A" w:rsidP="00D553C2">
            <w:pPr>
              <w:rPr>
                <w:rFonts w:ascii="Arial" w:hAnsi="Arial" w:cs="Arial"/>
              </w:rPr>
            </w:pPr>
            <w:r>
              <w:rPr>
                <w:rFonts w:ascii="Arial" w:hAnsi="Arial" w:cs="Arial"/>
              </w:rPr>
              <w:t>West Berkshire Councillor</w:t>
            </w:r>
          </w:p>
        </w:tc>
        <w:tc>
          <w:tcPr>
            <w:tcW w:w="6520" w:type="dxa"/>
          </w:tcPr>
          <w:p w14:paraId="4990A7AB" w14:textId="76C4FB98" w:rsidR="008A3C7A" w:rsidRDefault="004815FF" w:rsidP="00D553C2">
            <w:pPr>
              <w:rPr>
                <w:rFonts w:ascii="Arial" w:hAnsi="Arial" w:cs="Arial"/>
                <w:b/>
              </w:rPr>
            </w:pPr>
            <w:r>
              <w:rPr>
                <w:rFonts w:ascii="Arial" w:hAnsi="Arial" w:cs="Arial"/>
                <w:b/>
              </w:rPr>
              <w:t>1</w:t>
            </w:r>
          </w:p>
        </w:tc>
      </w:tr>
      <w:tr w:rsidR="008A3C7A" w14:paraId="1F4D04CB" w14:textId="77777777" w:rsidTr="004815FF">
        <w:tc>
          <w:tcPr>
            <w:tcW w:w="7650" w:type="dxa"/>
          </w:tcPr>
          <w:p w14:paraId="54226CFF" w14:textId="0522804E" w:rsidR="008A3C7A" w:rsidRPr="007529F3" w:rsidRDefault="008A3C7A" w:rsidP="00D553C2">
            <w:pPr>
              <w:rPr>
                <w:rFonts w:ascii="Arial" w:hAnsi="Arial" w:cs="Arial"/>
              </w:rPr>
            </w:pPr>
            <w:r w:rsidRPr="007529F3">
              <w:rPr>
                <w:rFonts w:ascii="Arial" w:hAnsi="Arial" w:cs="Arial"/>
              </w:rPr>
              <w:lastRenderedPageBreak/>
              <w:t xml:space="preserve">Public Sector Authority  </w:t>
            </w:r>
          </w:p>
        </w:tc>
        <w:tc>
          <w:tcPr>
            <w:tcW w:w="6520" w:type="dxa"/>
          </w:tcPr>
          <w:p w14:paraId="47BC5671" w14:textId="72AE1C7A" w:rsidR="008A3C7A" w:rsidRDefault="00587206" w:rsidP="00D553C2">
            <w:pPr>
              <w:rPr>
                <w:rFonts w:ascii="Arial" w:hAnsi="Arial" w:cs="Arial"/>
                <w:b/>
              </w:rPr>
            </w:pPr>
            <w:r>
              <w:rPr>
                <w:rFonts w:ascii="Arial" w:hAnsi="Arial" w:cs="Arial"/>
                <w:b/>
              </w:rPr>
              <w:t>2 (</w:t>
            </w:r>
            <w:r w:rsidR="004815FF" w:rsidRPr="00587206">
              <w:rPr>
                <w:rFonts w:ascii="Arial" w:hAnsi="Arial" w:cs="Arial"/>
                <w:bCs/>
              </w:rPr>
              <w:t>TVP Licensing and TVP)</w:t>
            </w:r>
          </w:p>
        </w:tc>
      </w:tr>
      <w:tr w:rsidR="008A3C7A" w14:paraId="21A3B861" w14:textId="77777777" w:rsidTr="004815FF">
        <w:tc>
          <w:tcPr>
            <w:tcW w:w="7650" w:type="dxa"/>
          </w:tcPr>
          <w:p w14:paraId="68BDAE1E" w14:textId="3230B40B" w:rsidR="008A3C7A" w:rsidRPr="007529F3" w:rsidRDefault="004815FF" w:rsidP="00D553C2">
            <w:pPr>
              <w:rPr>
                <w:rFonts w:ascii="Arial" w:hAnsi="Arial" w:cs="Arial"/>
              </w:rPr>
            </w:pPr>
            <w:r>
              <w:rPr>
                <w:rFonts w:ascii="Arial" w:hAnsi="Arial" w:cs="Arial"/>
              </w:rPr>
              <w:t xml:space="preserve">West Berkshire </w:t>
            </w:r>
            <w:r w:rsidR="008A3C7A" w:rsidRPr="007529F3">
              <w:rPr>
                <w:rFonts w:ascii="Arial" w:hAnsi="Arial" w:cs="Arial"/>
              </w:rPr>
              <w:t>Resident</w:t>
            </w:r>
          </w:p>
        </w:tc>
        <w:tc>
          <w:tcPr>
            <w:tcW w:w="6520" w:type="dxa"/>
          </w:tcPr>
          <w:p w14:paraId="4FCDB4F3" w14:textId="38370F39" w:rsidR="008A3C7A" w:rsidRDefault="004815FF" w:rsidP="00D553C2">
            <w:pPr>
              <w:rPr>
                <w:rFonts w:ascii="Arial" w:hAnsi="Arial" w:cs="Arial"/>
                <w:b/>
              </w:rPr>
            </w:pPr>
            <w:r>
              <w:rPr>
                <w:rFonts w:ascii="Arial" w:hAnsi="Arial" w:cs="Arial"/>
                <w:b/>
              </w:rPr>
              <w:t>20</w:t>
            </w:r>
          </w:p>
        </w:tc>
      </w:tr>
      <w:tr w:rsidR="008A3C7A" w14:paraId="1E20F030" w14:textId="77777777" w:rsidTr="004815FF">
        <w:tc>
          <w:tcPr>
            <w:tcW w:w="7650" w:type="dxa"/>
          </w:tcPr>
          <w:p w14:paraId="20E51C82" w14:textId="686DB8F4" w:rsidR="008A3C7A" w:rsidRPr="007529F3" w:rsidRDefault="004815FF" w:rsidP="00D553C2">
            <w:pPr>
              <w:rPr>
                <w:rFonts w:ascii="Arial" w:hAnsi="Arial" w:cs="Arial"/>
              </w:rPr>
            </w:pPr>
            <w:r>
              <w:rPr>
                <w:rFonts w:ascii="Arial" w:hAnsi="Arial" w:cs="Arial"/>
              </w:rPr>
              <w:t xml:space="preserve">West Berkshire </w:t>
            </w:r>
            <w:r w:rsidR="008A3C7A" w:rsidRPr="007529F3">
              <w:rPr>
                <w:rFonts w:ascii="Arial" w:hAnsi="Arial" w:cs="Arial"/>
              </w:rPr>
              <w:t>Business</w:t>
            </w:r>
            <w:r w:rsidR="008A3C7A">
              <w:rPr>
                <w:rFonts w:ascii="Arial" w:hAnsi="Arial" w:cs="Arial"/>
              </w:rPr>
              <w:t xml:space="preserve"> </w:t>
            </w:r>
          </w:p>
        </w:tc>
        <w:tc>
          <w:tcPr>
            <w:tcW w:w="6520" w:type="dxa"/>
          </w:tcPr>
          <w:p w14:paraId="108374B5" w14:textId="334FCF28" w:rsidR="008A3C7A" w:rsidRDefault="004815FF" w:rsidP="00D553C2">
            <w:pPr>
              <w:rPr>
                <w:rFonts w:ascii="Arial" w:hAnsi="Arial" w:cs="Arial"/>
                <w:b/>
              </w:rPr>
            </w:pPr>
            <w:r>
              <w:rPr>
                <w:rFonts w:ascii="Arial" w:hAnsi="Arial" w:cs="Arial"/>
                <w:b/>
              </w:rPr>
              <w:t>2</w:t>
            </w:r>
          </w:p>
        </w:tc>
      </w:tr>
      <w:tr w:rsidR="008A3C7A" w14:paraId="0193B4C6" w14:textId="77777777" w:rsidTr="004815FF">
        <w:tc>
          <w:tcPr>
            <w:tcW w:w="7650" w:type="dxa"/>
          </w:tcPr>
          <w:p w14:paraId="70AB3042" w14:textId="77777777" w:rsidR="008A3C7A" w:rsidRPr="007529F3" w:rsidRDefault="008A3C7A" w:rsidP="00D553C2">
            <w:pPr>
              <w:rPr>
                <w:rFonts w:ascii="Arial" w:hAnsi="Arial" w:cs="Arial"/>
              </w:rPr>
            </w:pPr>
            <w:r>
              <w:rPr>
                <w:rFonts w:ascii="Arial" w:hAnsi="Arial" w:cs="Arial"/>
              </w:rPr>
              <w:t>Community Group</w:t>
            </w:r>
          </w:p>
        </w:tc>
        <w:tc>
          <w:tcPr>
            <w:tcW w:w="6520" w:type="dxa"/>
          </w:tcPr>
          <w:p w14:paraId="72675779" w14:textId="545D47E0" w:rsidR="008A3C7A" w:rsidRDefault="004815FF" w:rsidP="00D553C2">
            <w:pPr>
              <w:rPr>
                <w:rFonts w:ascii="Arial" w:hAnsi="Arial" w:cs="Arial"/>
                <w:b/>
              </w:rPr>
            </w:pPr>
            <w:r>
              <w:rPr>
                <w:rFonts w:ascii="Arial" w:hAnsi="Arial" w:cs="Arial"/>
                <w:b/>
              </w:rPr>
              <w:t>1</w:t>
            </w:r>
          </w:p>
        </w:tc>
      </w:tr>
      <w:tr w:rsidR="008A3C7A" w14:paraId="1B865416" w14:textId="77777777" w:rsidTr="004815FF">
        <w:tc>
          <w:tcPr>
            <w:tcW w:w="7650" w:type="dxa"/>
          </w:tcPr>
          <w:p w14:paraId="1A8AAE21" w14:textId="7C6C34F7" w:rsidR="008A3C7A" w:rsidRPr="007529F3" w:rsidRDefault="004815FF" w:rsidP="00D553C2">
            <w:pPr>
              <w:rPr>
                <w:rFonts w:ascii="Arial" w:hAnsi="Arial" w:cs="Arial"/>
              </w:rPr>
            </w:pPr>
            <w:r>
              <w:rPr>
                <w:rFonts w:ascii="Arial" w:hAnsi="Arial" w:cs="Arial"/>
              </w:rPr>
              <w:t>General Public</w:t>
            </w:r>
          </w:p>
        </w:tc>
        <w:tc>
          <w:tcPr>
            <w:tcW w:w="6520" w:type="dxa"/>
          </w:tcPr>
          <w:p w14:paraId="5546E32F" w14:textId="5E38E6BB" w:rsidR="008A3C7A" w:rsidRDefault="004815FF" w:rsidP="00D553C2">
            <w:pPr>
              <w:rPr>
                <w:rFonts w:ascii="Arial" w:hAnsi="Arial" w:cs="Arial"/>
                <w:b/>
              </w:rPr>
            </w:pPr>
            <w:r>
              <w:rPr>
                <w:rFonts w:ascii="Arial" w:hAnsi="Arial" w:cs="Arial"/>
                <w:b/>
              </w:rPr>
              <w:t>1</w:t>
            </w:r>
          </w:p>
        </w:tc>
      </w:tr>
      <w:tr w:rsidR="00587206" w14:paraId="1CF1C942" w14:textId="77777777" w:rsidTr="004815FF">
        <w:tc>
          <w:tcPr>
            <w:tcW w:w="7650" w:type="dxa"/>
          </w:tcPr>
          <w:p w14:paraId="2062D2BC" w14:textId="0C32CB11" w:rsidR="00587206" w:rsidRDefault="00587206" w:rsidP="00D553C2">
            <w:pPr>
              <w:rPr>
                <w:rFonts w:ascii="Arial" w:hAnsi="Arial" w:cs="Arial"/>
              </w:rPr>
            </w:pPr>
            <w:r>
              <w:rPr>
                <w:rFonts w:ascii="Arial" w:hAnsi="Arial" w:cs="Arial"/>
              </w:rPr>
              <w:t>Village Hall</w:t>
            </w:r>
          </w:p>
        </w:tc>
        <w:tc>
          <w:tcPr>
            <w:tcW w:w="6520" w:type="dxa"/>
          </w:tcPr>
          <w:p w14:paraId="0A3B3876" w14:textId="13A4F058" w:rsidR="00587206" w:rsidRDefault="00587206" w:rsidP="00D553C2">
            <w:pPr>
              <w:rPr>
                <w:rFonts w:ascii="Arial" w:hAnsi="Arial" w:cs="Arial"/>
                <w:b/>
              </w:rPr>
            </w:pPr>
            <w:r>
              <w:rPr>
                <w:rFonts w:ascii="Arial" w:hAnsi="Arial" w:cs="Arial"/>
                <w:b/>
              </w:rPr>
              <w:t>1</w:t>
            </w:r>
          </w:p>
        </w:tc>
      </w:tr>
      <w:tr w:rsidR="00587206" w14:paraId="0E0ACE2F" w14:textId="77777777" w:rsidTr="004815FF">
        <w:tc>
          <w:tcPr>
            <w:tcW w:w="7650" w:type="dxa"/>
          </w:tcPr>
          <w:p w14:paraId="0552A999" w14:textId="42A9CA90" w:rsidR="00587206" w:rsidRDefault="00587206" w:rsidP="00D553C2">
            <w:pPr>
              <w:rPr>
                <w:rFonts w:ascii="Arial" w:hAnsi="Arial" w:cs="Arial"/>
              </w:rPr>
            </w:pPr>
            <w:r>
              <w:rPr>
                <w:rFonts w:ascii="Arial" w:hAnsi="Arial" w:cs="Arial"/>
              </w:rPr>
              <w:t xml:space="preserve">Total </w:t>
            </w:r>
          </w:p>
        </w:tc>
        <w:tc>
          <w:tcPr>
            <w:tcW w:w="6520" w:type="dxa"/>
          </w:tcPr>
          <w:p w14:paraId="4F410FDF" w14:textId="6012559D" w:rsidR="00587206" w:rsidRDefault="00587206" w:rsidP="00D553C2">
            <w:pPr>
              <w:rPr>
                <w:rFonts w:ascii="Arial" w:hAnsi="Arial" w:cs="Arial"/>
                <w:b/>
              </w:rPr>
            </w:pPr>
            <w:r>
              <w:rPr>
                <w:rFonts w:ascii="Arial" w:hAnsi="Arial" w:cs="Arial"/>
                <w:b/>
              </w:rPr>
              <w:t>47</w:t>
            </w:r>
          </w:p>
        </w:tc>
      </w:tr>
    </w:tbl>
    <w:p w14:paraId="6F404C5E" w14:textId="77777777" w:rsidR="00DF3CDB" w:rsidRDefault="00DF3CDB" w:rsidP="00C91433">
      <w:pPr>
        <w:ind w:right="514"/>
        <w:jc w:val="both"/>
      </w:pPr>
    </w:p>
    <w:p w14:paraId="093DB50F" w14:textId="3D43396A" w:rsidR="00970C0A" w:rsidRPr="00970C0A" w:rsidRDefault="008A3C7A" w:rsidP="008A3C7A">
      <w:pPr>
        <w:rPr>
          <w:b/>
          <w:bCs/>
        </w:rPr>
      </w:pPr>
      <w:r w:rsidRPr="00970C0A">
        <w:rPr>
          <w:rFonts w:ascii="Arial" w:hAnsi="Arial" w:cs="Arial"/>
          <w:b/>
          <w:bCs/>
        </w:rPr>
        <w:t>Q</w:t>
      </w:r>
      <w:r w:rsidR="00C63DC7">
        <w:rPr>
          <w:rFonts w:ascii="Arial" w:hAnsi="Arial" w:cs="Arial"/>
          <w:b/>
          <w:bCs/>
        </w:rPr>
        <w:t>2</w:t>
      </w:r>
      <w:r w:rsidRPr="00970C0A">
        <w:rPr>
          <w:rFonts w:ascii="Arial" w:hAnsi="Arial" w:cs="Arial"/>
          <w:b/>
          <w:bCs/>
        </w:rPr>
        <w:t xml:space="preserve">: To what extent do you agree or disagree </w:t>
      </w:r>
      <w:r w:rsidRPr="00970C0A">
        <w:rPr>
          <w:b/>
          <w:bCs/>
        </w:rPr>
        <w:t xml:space="preserve">that the policy is easy to understand? </w:t>
      </w:r>
    </w:p>
    <w:p w14:paraId="03E04E4A" w14:textId="77777777" w:rsidR="00970C0A" w:rsidRDefault="00970C0A" w:rsidP="008A3C7A"/>
    <w:p w14:paraId="1CE211D1" w14:textId="2993186F" w:rsidR="008A3C7A" w:rsidRDefault="00970C0A" w:rsidP="008A3C7A">
      <w:r>
        <w:t xml:space="preserve">Twenty-eight responses were received to this question, 71.5% agreed or strongly agreed that the policy was easy to understand and only one respondent commented that it was not easy to understand. Comments received included that it was clear and concise and written in informal language. One respondent commented that </w:t>
      </w:r>
      <w:bookmarkStart w:id="0" w:name="_Hlk146628574"/>
      <w:r>
        <w:t>it would be easier if there was a national policy as it was difficult to navigate different policies in different authorities.</w:t>
      </w:r>
    </w:p>
    <w:bookmarkEnd w:id="0"/>
    <w:p w14:paraId="27D22FB5" w14:textId="77777777" w:rsidR="008A3C7A" w:rsidRDefault="008A3C7A" w:rsidP="008A3C7A"/>
    <w:tbl>
      <w:tblPr>
        <w:tblStyle w:val="TableGrid"/>
        <w:tblW w:w="0" w:type="auto"/>
        <w:tblLook w:val="04A0" w:firstRow="1" w:lastRow="0" w:firstColumn="1" w:lastColumn="0" w:noHBand="0" w:noVBand="1"/>
      </w:tblPr>
      <w:tblGrid>
        <w:gridCol w:w="4508"/>
        <w:gridCol w:w="9662"/>
      </w:tblGrid>
      <w:tr w:rsidR="008A3C7A" w14:paraId="3CD26850" w14:textId="77777777" w:rsidTr="00587206">
        <w:tc>
          <w:tcPr>
            <w:tcW w:w="4508" w:type="dxa"/>
          </w:tcPr>
          <w:p w14:paraId="457CEFBF" w14:textId="77777777" w:rsidR="008A3C7A" w:rsidRDefault="008A3C7A" w:rsidP="00D553C2">
            <w:r>
              <w:t>Strongly Agree</w:t>
            </w:r>
          </w:p>
        </w:tc>
        <w:tc>
          <w:tcPr>
            <w:tcW w:w="9662" w:type="dxa"/>
          </w:tcPr>
          <w:p w14:paraId="650646AE" w14:textId="1A33CAB6" w:rsidR="008A3C7A" w:rsidRDefault="00970C0A" w:rsidP="00D553C2">
            <w:r>
              <w:t>6</w:t>
            </w:r>
          </w:p>
        </w:tc>
      </w:tr>
      <w:tr w:rsidR="008A3C7A" w14:paraId="4CE59EE5" w14:textId="77777777" w:rsidTr="00587206">
        <w:tc>
          <w:tcPr>
            <w:tcW w:w="4508" w:type="dxa"/>
          </w:tcPr>
          <w:p w14:paraId="6EF89C80" w14:textId="77777777" w:rsidR="008A3C7A" w:rsidRDefault="008A3C7A" w:rsidP="00D553C2">
            <w:r>
              <w:t>Agree</w:t>
            </w:r>
          </w:p>
        </w:tc>
        <w:tc>
          <w:tcPr>
            <w:tcW w:w="9662" w:type="dxa"/>
          </w:tcPr>
          <w:p w14:paraId="5298D9BA" w14:textId="6CF4A1AE" w:rsidR="008A3C7A" w:rsidRDefault="00970C0A" w:rsidP="00D553C2">
            <w:r>
              <w:t>14</w:t>
            </w:r>
          </w:p>
        </w:tc>
      </w:tr>
      <w:tr w:rsidR="008A3C7A" w14:paraId="500AF842" w14:textId="77777777" w:rsidTr="00587206">
        <w:tc>
          <w:tcPr>
            <w:tcW w:w="4508" w:type="dxa"/>
          </w:tcPr>
          <w:p w14:paraId="200D875E" w14:textId="77777777" w:rsidR="008A3C7A" w:rsidRDefault="008A3C7A" w:rsidP="00D553C2">
            <w:r>
              <w:t>Neither Agree or Disagree</w:t>
            </w:r>
          </w:p>
        </w:tc>
        <w:tc>
          <w:tcPr>
            <w:tcW w:w="9662" w:type="dxa"/>
          </w:tcPr>
          <w:p w14:paraId="420EE243" w14:textId="7FEB89F7" w:rsidR="008A3C7A" w:rsidRDefault="00970C0A" w:rsidP="00D553C2">
            <w:r>
              <w:t>7</w:t>
            </w:r>
          </w:p>
        </w:tc>
      </w:tr>
      <w:tr w:rsidR="008A3C7A" w14:paraId="2055627B" w14:textId="77777777" w:rsidTr="00587206">
        <w:tc>
          <w:tcPr>
            <w:tcW w:w="4508" w:type="dxa"/>
          </w:tcPr>
          <w:p w14:paraId="4FE2E699" w14:textId="77777777" w:rsidR="008A3C7A" w:rsidRDefault="008A3C7A" w:rsidP="00D553C2">
            <w:r>
              <w:t>Disagree</w:t>
            </w:r>
          </w:p>
        </w:tc>
        <w:tc>
          <w:tcPr>
            <w:tcW w:w="9662" w:type="dxa"/>
          </w:tcPr>
          <w:p w14:paraId="4EB567A1" w14:textId="0A18CF61" w:rsidR="008A3C7A" w:rsidRDefault="00970C0A" w:rsidP="00D553C2">
            <w:r>
              <w:t>1</w:t>
            </w:r>
          </w:p>
        </w:tc>
      </w:tr>
      <w:tr w:rsidR="008A3C7A" w14:paraId="25E9EE8A" w14:textId="77777777" w:rsidTr="00587206">
        <w:tc>
          <w:tcPr>
            <w:tcW w:w="4508" w:type="dxa"/>
          </w:tcPr>
          <w:p w14:paraId="06AFDE1B" w14:textId="77777777" w:rsidR="008A3C7A" w:rsidRDefault="008A3C7A" w:rsidP="00D553C2">
            <w:r>
              <w:t>Strongly Disagree</w:t>
            </w:r>
          </w:p>
        </w:tc>
        <w:tc>
          <w:tcPr>
            <w:tcW w:w="9662" w:type="dxa"/>
          </w:tcPr>
          <w:p w14:paraId="23E867FC" w14:textId="74D87F72" w:rsidR="008A3C7A" w:rsidRDefault="00970C0A" w:rsidP="00D553C2">
            <w:r>
              <w:t>0</w:t>
            </w:r>
          </w:p>
        </w:tc>
      </w:tr>
    </w:tbl>
    <w:p w14:paraId="1979EA5F" w14:textId="6194964F" w:rsidR="008A3C7A" w:rsidRDefault="008A3C7A" w:rsidP="00970C0A">
      <w:pPr>
        <w:shd w:val="clear" w:color="auto" w:fill="FFFFFF"/>
        <w:spacing w:before="100" w:beforeAutospacing="1" w:after="100" w:afterAutospacing="1"/>
        <w:jc w:val="both"/>
        <w:rPr>
          <w:rFonts w:ascii="Arial" w:eastAsia="Times New Roman" w:hAnsi="Arial" w:cs="Arial"/>
          <w:b/>
          <w:bCs/>
          <w:lang w:eastAsia="en-GB"/>
        </w:rPr>
      </w:pPr>
      <w:r w:rsidRPr="00970C0A">
        <w:rPr>
          <w:b/>
          <w:bCs/>
        </w:rPr>
        <w:t>Q</w:t>
      </w:r>
      <w:r w:rsidR="00C63DC7">
        <w:rPr>
          <w:b/>
          <w:bCs/>
        </w:rPr>
        <w:t>3 and Q4:</w:t>
      </w:r>
      <w:r w:rsidRPr="00970C0A">
        <w:rPr>
          <w:b/>
          <w:bCs/>
        </w:rPr>
        <w:t xml:space="preserve"> To what extent do you agree or disagree that the draft policy promotes the </w:t>
      </w:r>
      <w:r w:rsidRPr="00970C0A">
        <w:rPr>
          <w:rFonts w:ascii="Arial" w:eastAsia="Times New Roman" w:hAnsi="Arial" w:cs="Arial"/>
          <w:b/>
          <w:bCs/>
          <w:lang w:eastAsia="en-GB"/>
        </w:rPr>
        <w:t>prevention of crime and disorder?</w:t>
      </w:r>
    </w:p>
    <w:p w14:paraId="7521023E" w14:textId="29E003FB" w:rsidR="008A3C7A" w:rsidRDefault="00970C0A" w:rsidP="008A3C7A">
      <w:r>
        <w:t xml:space="preserve">Twenty-five respondents answered this question. Sixty percent of the respondents </w:t>
      </w:r>
      <w:r w:rsidR="00AD7F2A">
        <w:t>believed</w:t>
      </w:r>
      <w:r>
        <w:t xml:space="preserve"> the draft policy promoted the prevention of crime and disorder </w:t>
      </w:r>
      <w:r w:rsidR="00AD7F2A">
        <w:t>and two respondents disagreed with the statement. There were no specific comments submitted with suggestions to amend the policy. Those submitted related to general enforcement of crime and disorder and were not specifically related to licensing.</w:t>
      </w:r>
    </w:p>
    <w:p w14:paraId="42C3863B" w14:textId="77777777" w:rsidR="00970C0A" w:rsidRDefault="00970C0A" w:rsidP="008A3C7A"/>
    <w:tbl>
      <w:tblPr>
        <w:tblStyle w:val="TableGrid"/>
        <w:tblW w:w="0" w:type="auto"/>
        <w:tblLook w:val="04A0" w:firstRow="1" w:lastRow="0" w:firstColumn="1" w:lastColumn="0" w:noHBand="0" w:noVBand="1"/>
      </w:tblPr>
      <w:tblGrid>
        <w:gridCol w:w="4508"/>
        <w:gridCol w:w="9662"/>
      </w:tblGrid>
      <w:tr w:rsidR="008A3C7A" w14:paraId="78197969" w14:textId="77777777" w:rsidTr="00AD7F2A">
        <w:tc>
          <w:tcPr>
            <w:tcW w:w="4508" w:type="dxa"/>
          </w:tcPr>
          <w:p w14:paraId="0E600C86" w14:textId="77777777" w:rsidR="008A3C7A" w:rsidRDefault="008A3C7A" w:rsidP="00D553C2">
            <w:r>
              <w:t>Strongly Agree</w:t>
            </w:r>
          </w:p>
        </w:tc>
        <w:tc>
          <w:tcPr>
            <w:tcW w:w="9662" w:type="dxa"/>
          </w:tcPr>
          <w:p w14:paraId="15CD17DF" w14:textId="20044277" w:rsidR="008A3C7A" w:rsidRDefault="00970C0A" w:rsidP="00D553C2">
            <w:r>
              <w:t>2</w:t>
            </w:r>
          </w:p>
        </w:tc>
      </w:tr>
      <w:tr w:rsidR="008A3C7A" w14:paraId="1053D2B6" w14:textId="77777777" w:rsidTr="00AD7F2A">
        <w:tc>
          <w:tcPr>
            <w:tcW w:w="4508" w:type="dxa"/>
          </w:tcPr>
          <w:p w14:paraId="0453A237" w14:textId="77777777" w:rsidR="008A3C7A" w:rsidRDefault="008A3C7A" w:rsidP="00D553C2">
            <w:r>
              <w:t>Agree</w:t>
            </w:r>
          </w:p>
        </w:tc>
        <w:tc>
          <w:tcPr>
            <w:tcW w:w="9662" w:type="dxa"/>
          </w:tcPr>
          <w:p w14:paraId="1782CF35" w14:textId="06A32759" w:rsidR="008A3C7A" w:rsidRDefault="00970C0A" w:rsidP="00D553C2">
            <w:r>
              <w:t>13</w:t>
            </w:r>
          </w:p>
        </w:tc>
      </w:tr>
      <w:tr w:rsidR="008A3C7A" w14:paraId="5E828CD1" w14:textId="77777777" w:rsidTr="00AD7F2A">
        <w:tc>
          <w:tcPr>
            <w:tcW w:w="4508" w:type="dxa"/>
          </w:tcPr>
          <w:p w14:paraId="7AC75B44" w14:textId="77777777" w:rsidR="008A3C7A" w:rsidRDefault="008A3C7A" w:rsidP="00D553C2">
            <w:r>
              <w:t>Neither Agree or Disagree</w:t>
            </w:r>
          </w:p>
        </w:tc>
        <w:tc>
          <w:tcPr>
            <w:tcW w:w="9662" w:type="dxa"/>
          </w:tcPr>
          <w:p w14:paraId="4D054706" w14:textId="3C29357C" w:rsidR="008A3C7A" w:rsidRDefault="00970C0A" w:rsidP="00D553C2">
            <w:r>
              <w:t>8</w:t>
            </w:r>
          </w:p>
        </w:tc>
      </w:tr>
      <w:tr w:rsidR="008A3C7A" w14:paraId="4B9C5F90" w14:textId="77777777" w:rsidTr="00AD7F2A">
        <w:tc>
          <w:tcPr>
            <w:tcW w:w="4508" w:type="dxa"/>
          </w:tcPr>
          <w:p w14:paraId="51610D62" w14:textId="77777777" w:rsidR="008A3C7A" w:rsidRDefault="008A3C7A" w:rsidP="00D553C2">
            <w:r>
              <w:t>Disagree</w:t>
            </w:r>
          </w:p>
        </w:tc>
        <w:tc>
          <w:tcPr>
            <w:tcW w:w="9662" w:type="dxa"/>
          </w:tcPr>
          <w:p w14:paraId="134B522E" w14:textId="13F599B6" w:rsidR="008A3C7A" w:rsidRDefault="00970C0A" w:rsidP="00D553C2">
            <w:r>
              <w:t>2</w:t>
            </w:r>
          </w:p>
        </w:tc>
      </w:tr>
      <w:tr w:rsidR="008A3C7A" w14:paraId="3711AF71" w14:textId="77777777" w:rsidTr="00AD7F2A">
        <w:tc>
          <w:tcPr>
            <w:tcW w:w="4508" w:type="dxa"/>
          </w:tcPr>
          <w:p w14:paraId="490B01A3" w14:textId="77777777" w:rsidR="008A3C7A" w:rsidRDefault="008A3C7A" w:rsidP="00D553C2">
            <w:r>
              <w:lastRenderedPageBreak/>
              <w:t>Strongly Disagree</w:t>
            </w:r>
          </w:p>
        </w:tc>
        <w:tc>
          <w:tcPr>
            <w:tcW w:w="9662" w:type="dxa"/>
          </w:tcPr>
          <w:p w14:paraId="464A9A63" w14:textId="50168F6B" w:rsidR="008A3C7A" w:rsidRDefault="00970C0A" w:rsidP="00D553C2">
            <w:r>
              <w:t>0</w:t>
            </w:r>
          </w:p>
        </w:tc>
      </w:tr>
      <w:tr w:rsidR="008A3C7A" w14:paraId="0CF95988" w14:textId="77777777" w:rsidTr="00AD7F2A">
        <w:tc>
          <w:tcPr>
            <w:tcW w:w="4508" w:type="dxa"/>
          </w:tcPr>
          <w:p w14:paraId="3C8455F9" w14:textId="77777777" w:rsidR="008A3C7A" w:rsidRDefault="008A3C7A" w:rsidP="00D553C2">
            <w:r>
              <w:t>Don’t Know</w:t>
            </w:r>
          </w:p>
        </w:tc>
        <w:tc>
          <w:tcPr>
            <w:tcW w:w="9662" w:type="dxa"/>
          </w:tcPr>
          <w:p w14:paraId="3BE2F5B8" w14:textId="519436CC" w:rsidR="008A3C7A" w:rsidRDefault="00970C0A" w:rsidP="00D553C2">
            <w:r>
              <w:t>0</w:t>
            </w:r>
          </w:p>
        </w:tc>
      </w:tr>
    </w:tbl>
    <w:p w14:paraId="1175F550" w14:textId="09E8A6C0" w:rsidR="008A3C7A" w:rsidRDefault="008A3C7A" w:rsidP="00AD7F2A">
      <w:pPr>
        <w:shd w:val="clear" w:color="auto" w:fill="FFFFFF"/>
        <w:spacing w:before="100" w:beforeAutospacing="1" w:after="100" w:afterAutospacing="1"/>
        <w:jc w:val="both"/>
        <w:rPr>
          <w:b/>
          <w:bCs/>
        </w:rPr>
      </w:pPr>
      <w:r w:rsidRPr="00AD7F2A">
        <w:rPr>
          <w:b/>
          <w:bCs/>
        </w:rPr>
        <w:t>Q</w:t>
      </w:r>
      <w:r w:rsidR="00C63DC7">
        <w:rPr>
          <w:b/>
          <w:bCs/>
        </w:rPr>
        <w:t>5 and Q</w:t>
      </w:r>
      <w:r w:rsidRPr="00AD7F2A">
        <w:rPr>
          <w:b/>
          <w:bCs/>
        </w:rPr>
        <w:t>6: To what extent do you agree or disagree that the draft policy promotes public safety?</w:t>
      </w:r>
    </w:p>
    <w:p w14:paraId="5EDE79C6" w14:textId="7C8E7BA5" w:rsidR="00AD7F2A" w:rsidRPr="00AD7F2A" w:rsidRDefault="00AD7F2A" w:rsidP="00AD7F2A">
      <w:pPr>
        <w:shd w:val="clear" w:color="auto" w:fill="FFFFFF"/>
        <w:spacing w:before="100" w:beforeAutospacing="1" w:after="100" w:afterAutospacing="1"/>
        <w:jc w:val="both"/>
        <w:rPr>
          <w:rFonts w:ascii="Arial" w:eastAsia="Times New Roman" w:hAnsi="Arial" w:cs="Arial"/>
          <w:lang w:eastAsia="en-GB"/>
        </w:rPr>
      </w:pPr>
      <w:r w:rsidRPr="00AD7F2A">
        <w:rPr>
          <w:rFonts w:ascii="Arial" w:eastAsia="Times New Roman" w:hAnsi="Arial" w:cs="Arial"/>
          <w:lang w:eastAsia="en-GB"/>
        </w:rPr>
        <w:t>Twenty-five</w:t>
      </w:r>
      <w:r>
        <w:rPr>
          <w:rFonts w:ascii="Arial" w:eastAsia="Times New Roman" w:hAnsi="Arial" w:cs="Arial"/>
          <w:lang w:eastAsia="en-GB"/>
        </w:rPr>
        <w:t xml:space="preserve"> responses to this question were submitted. Of those respondents 64% agreed that the policy promoted public safety, with one respondent disagreeing with the statement and one respondent strongly disagreeing with it. The only comment received stated that </w:t>
      </w:r>
      <w:bookmarkStart w:id="1" w:name="_Hlk146628640"/>
      <w:r>
        <w:rPr>
          <w:rFonts w:ascii="Arial" w:eastAsia="Times New Roman" w:hAnsi="Arial" w:cs="Arial"/>
          <w:lang w:eastAsia="en-GB"/>
        </w:rPr>
        <w:t>the policy would need to be supported by enforcement action.</w:t>
      </w:r>
    </w:p>
    <w:tbl>
      <w:tblPr>
        <w:tblStyle w:val="TableGrid"/>
        <w:tblW w:w="0" w:type="auto"/>
        <w:tblLook w:val="04A0" w:firstRow="1" w:lastRow="0" w:firstColumn="1" w:lastColumn="0" w:noHBand="0" w:noVBand="1"/>
      </w:tblPr>
      <w:tblGrid>
        <w:gridCol w:w="4508"/>
        <w:gridCol w:w="9662"/>
      </w:tblGrid>
      <w:tr w:rsidR="008A3C7A" w14:paraId="62467972" w14:textId="77777777" w:rsidTr="00AD7F2A">
        <w:tc>
          <w:tcPr>
            <w:tcW w:w="4508" w:type="dxa"/>
          </w:tcPr>
          <w:bookmarkEnd w:id="1"/>
          <w:p w14:paraId="7550B62E" w14:textId="77777777" w:rsidR="008A3C7A" w:rsidRDefault="008A3C7A" w:rsidP="00D553C2">
            <w:r>
              <w:t>Strongly Agree</w:t>
            </w:r>
          </w:p>
        </w:tc>
        <w:tc>
          <w:tcPr>
            <w:tcW w:w="9662" w:type="dxa"/>
          </w:tcPr>
          <w:p w14:paraId="346A04CA" w14:textId="64C48D74" w:rsidR="008A3C7A" w:rsidRDefault="00AD7F2A" w:rsidP="00D553C2">
            <w:r>
              <w:t>2</w:t>
            </w:r>
          </w:p>
        </w:tc>
      </w:tr>
      <w:tr w:rsidR="008A3C7A" w14:paraId="7A01DDF5" w14:textId="77777777" w:rsidTr="00AD7F2A">
        <w:tc>
          <w:tcPr>
            <w:tcW w:w="4508" w:type="dxa"/>
          </w:tcPr>
          <w:p w14:paraId="44ADEFDE" w14:textId="77777777" w:rsidR="008A3C7A" w:rsidRDefault="008A3C7A" w:rsidP="00D553C2">
            <w:r>
              <w:t>Agree</w:t>
            </w:r>
          </w:p>
        </w:tc>
        <w:tc>
          <w:tcPr>
            <w:tcW w:w="9662" w:type="dxa"/>
          </w:tcPr>
          <w:p w14:paraId="5FD7EF3D" w14:textId="63EA9E59" w:rsidR="008A3C7A" w:rsidRDefault="00AD7F2A" w:rsidP="00D553C2">
            <w:r>
              <w:t>14</w:t>
            </w:r>
          </w:p>
        </w:tc>
      </w:tr>
      <w:tr w:rsidR="008A3C7A" w14:paraId="2113638D" w14:textId="77777777" w:rsidTr="00AD7F2A">
        <w:tc>
          <w:tcPr>
            <w:tcW w:w="4508" w:type="dxa"/>
          </w:tcPr>
          <w:p w14:paraId="34AD084D" w14:textId="77777777" w:rsidR="008A3C7A" w:rsidRDefault="008A3C7A" w:rsidP="00D553C2">
            <w:r>
              <w:t>Neither Agree or Disagree</w:t>
            </w:r>
          </w:p>
        </w:tc>
        <w:tc>
          <w:tcPr>
            <w:tcW w:w="9662" w:type="dxa"/>
          </w:tcPr>
          <w:p w14:paraId="6D243508" w14:textId="3AC9A48F" w:rsidR="008A3C7A" w:rsidRDefault="00AD7F2A" w:rsidP="00D553C2">
            <w:r>
              <w:t>7</w:t>
            </w:r>
          </w:p>
        </w:tc>
      </w:tr>
      <w:tr w:rsidR="008A3C7A" w14:paraId="3503F745" w14:textId="77777777" w:rsidTr="00AD7F2A">
        <w:tc>
          <w:tcPr>
            <w:tcW w:w="4508" w:type="dxa"/>
          </w:tcPr>
          <w:p w14:paraId="7FDEE492" w14:textId="77777777" w:rsidR="008A3C7A" w:rsidRDefault="008A3C7A" w:rsidP="00D553C2">
            <w:r>
              <w:t>Disagree</w:t>
            </w:r>
          </w:p>
        </w:tc>
        <w:tc>
          <w:tcPr>
            <w:tcW w:w="9662" w:type="dxa"/>
          </w:tcPr>
          <w:p w14:paraId="24F3B8C4" w14:textId="64BACED3" w:rsidR="008A3C7A" w:rsidRDefault="00AD7F2A" w:rsidP="00D553C2">
            <w:r>
              <w:t>1</w:t>
            </w:r>
          </w:p>
        </w:tc>
      </w:tr>
      <w:tr w:rsidR="008A3C7A" w14:paraId="2E176324" w14:textId="77777777" w:rsidTr="00AD7F2A">
        <w:tc>
          <w:tcPr>
            <w:tcW w:w="4508" w:type="dxa"/>
          </w:tcPr>
          <w:p w14:paraId="7431D127" w14:textId="77777777" w:rsidR="008A3C7A" w:rsidRDefault="008A3C7A" w:rsidP="00D553C2">
            <w:r>
              <w:t>Strongly Disagree</w:t>
            </w:r>
          </w:p>
        </w:tc>
        <w:tc>
          <w:tcPr>
            <w:tcW w:w="9662" w:type="dxa"/>
          </w:tcPr>
          <w:p w14:paraId="3631C320" w14:textId="6D9D5C6D" w:rsidR="008A3C7A" w:rsidRDefault="00AD7F2A" w:rsidP="00D553C2">
            <w:r>
              <w:t>1</w:t>
            </w:r>
          </w:p>
        </w:tc>
      </w:tr>
      <w:tr w:rsidR="008A3C7A" w14:paraId="6532BD63" w14:textId="77777777" w:rsidTr="00AD7F2A">
        <w:tc>
          <w:tcPr>
            <w:tcW w:w="4508" w:type="dxa"/>
          </w:tcPr>
          <w:p w14:paraId="52431E9D" w14:textId="77777777" w:rsidR="008A3C7A" w:rsidRDefault="008A3C7A" w:rsidP="00D553C2">
            <w:r>
              <w:t>Don’t know</w:t>
            </w:r>
          </w:p>
        </w:tc>
        <w:tc>
          <w:tcPr>
            <w:tcW w:w="9662" w:type="dxa"/>
          </w:tcPr>
          <w:p w14:paraId="73FA5243" w14:textId="48EFB164" w:rsidR="008A3C7A" w:rsidRDefault="00AD7F2A" w:rsidP="00D553C2">
            <w:r>
              <w:t>0</w:t>
            </w:r>
          </w:p>
        </w:tc>
      </w:tr>
    </w:tbl>
    <w:p w14:paraId="0D2B8C0F" w14:textId="79FA647A" w:rsidR="008A3C7A" w:rsidRDefault="008A3C7A" w:rsidP="00AD7F2A">
      <w:pPr>
        <w:shd w:val="clear" w:color="auto" w:fill="FFFFFF"/>
        <w:spacing w:before="100" w:beforeAutospacing="1" w:after="100" w:afterAutospacing="1"/>
        <w:jc w:val="both"/>
        <w:rPr>
          <w:b/>
          <w:bCs/>
        </w:rPr>
      </w:pPr>
      <w:r w:rsidRPr="00AD7F2A">
        <w:rPr>
          <w:b/>
          <w:bCs/>
        </w:rPr>
        <w:t>Q</w:t>
      </w:r>
      <w:r w:rsidR="00C63DC7">
        <w:rPr>
          <w:b/>
          <w:bCs/>
        </w:rPr>
        <w:t>7 and Q8</w:t>
      </w:r>
      <w:r w:rsidRPr="00AD7F2A">
        <w:rPr>
          <w:b/>
          <w:bCs/>
        </w:rPr>
        <w:t>: To what extent do you agree or disagree that the draft policy promotes the prevention of public nuisance?</w:t>
      </w:r>
    </w:p>
    <w:p w14:paraId="1008A7AD" w14:textId="3F373DB6" w:rsidR="00C63DC7" w:rsidRPr="00C63DC7" w:rsidRDefault="00C63DC7" w:rsidP="00AD7F2A">
      <w:pPr>
        <w:shd w:val="clear" w:color="auto" w:fill="FFFFFF"/>
        <w:spacing w:before="100" w:beforeAutospacing="1" w:after="100" w:afterAutospacing="1"/>
        <w:jc w:val="both"/>
        <w:rPr>
          <w:rFonts w:ascii="Arial" w:eastAsia="Times New Roman" w:hAnsi="Arial" w:cs="Arial"/>
          <w:lang w:eastAsia="en-GB"/>
        </w:rPr>
      </w:pPr>
      <w:r>
        <w:t xml:space="preserve">A total of 24 responses were received to this question. Of those respondents 67% agreed that the policy promoted the prevention of public nuisance. Three of the respondents disagreed with the statement. Those respondents that disagreed once again referred to the need for enforcement to take place and that it would be </w:t>
      </w:r>
      <w:bookmarkStart w:id="2" w:name="_Hlk146628701"/>
      <w:r>
        <w:t>useful to be able to react quickly to anti-social behaviour (asb)</w:t>
      </w:r>
      <w:r w:rsidR="00AA441B">
        <w:t xml:space="preserve"> and lock ins </w:t>
      </w:r>
      <w:r>
        <w:t>by being able to temporarily close establishments quickly where this asb was occurring.</w:t>
      </w:r>
      <w:bookmarkEnd w:id="2"/>
    </w:p>
    <w:tbl>
      <w:tblPr>
        <w:tblStyle w:val="TableGrid"/>
        <w:tblW w:w="0" w:type="auto"/>
        <w:tblLook w:val="04A0" w:firstRow="1" w:lastRow="0" w:firstColumn="1" w:lastColumn="0" w:noHBand="0" w:noVBand="1"/>
      </w:tblPr>
      <w:tblGrid>
        <w:gridCol w:w="4508"/>
        <w:gridCol w:w="9662"/>
      </w:tblGrid>
      <w:tr w:rsidR="008A3C7A" w14:paraId="6E158F6F" w14:textId="77777777" w:rsidTr="00C63DC7">
        <w:tc>
          <w:tcPr>
            <w:tcW w:w="4508" w:type="dxa"/>
          </w:tcPr>
          <w:p w14:paraId="5AA8C70E" w14:textId="77777777" w:rsidR="008A3C7A" w:rsidRDefault="008A3C7A" w:rsidP="00D553C2">
            <w:r>
              <w:t>Strongly Agree</w:t>
            </w:r>
          </w:p>
        </w:tc>
        <w:tc>
          <w:tcPr>
            <w:tcW w:w="9662" w:type="dxa"/>
          </w:tcPr>
          <w:p w14:paraId="17E9595A" w14:textId="15ED8D17" w:rsidR="008A3C7A" w:rsidRDefault="00C63DC7" w:rsidP="00D553C2">
            <w:r>
              <w:t>3</w:t>
            </w:r>
          </w:p>
        </w:tc>
      </w:tr>
      <w:tr w:rsidR="008A3C7A" w14:paraId="63C1011B" w14:textId="77777777" w:rsidTr="00C63DC7">
        <w:tc>
          <w:tcPr>
            <w:tcW w:w="4508" w:type="dxa"/>
          </w:tcPr>
          <w:p w14:paraId="4C2C88F0" w14:textId="77777777" w:rsidR="008A3C7A" w:rsidRDefault="008A3C7A" w:rsidP="00D553C2">
            <w:r>
              <w:t>Agree</w:t>
            </w:r>
          </w:p>
        </w:tc>
        <w:tc>
          <w:tcPr>
            <w:tcW w:w="9662" w:type="dxa"/>
          </w:tcPr>
          <w:p w14:paraId="638E4384" w14:textId="23470A7B" w:rsidR="008A3C7A" w:rsidRDefault="00C63DC7" w:rsidP="00D553C2">
            <w:r>
              <w:t>13</w:t>
            </w:r>
          </w:p>
        </w:tc>
      </w:tr>
      <w:tr w:rsidR="008A3C7A" w14:paraId="0CB87613" w14:textId="77777777" w:rsidTr="00C63DC7">
        <w:tc>
          <w:tcPr>
            <w:tcW w:w="4508" w:type="dxa"/>
          </w:tcPr>
          <w:p w14:paraId="7E54670F" w14:textId="77777777" w:rsidR="008A3C7A" w:rsidRDefault="008A3C7A" w:rsidP="00D553C2">
            <w:r>
              <w:t>Neither Agree or Disagree</w:t>
            </w:r>
          </w:p>
        </w:tc>
        <w:tc>
          <w:tcPr>
            <w:tcW w:w="9662" w:type="dxa"/>
          </w:tcPr>
          <w:p w14:paraId="0702AD21" w14:textId="7769DA56" w:rsidR="008A3C7A" w:rsidRDefault="00C63DC7" w:rsidP="00D553C2">
            <w:r>
              <w:t>5</w:t>
            </w:r>
          </w:p>
        </w:tc>
      </w:tr>
      <w:tr w:rsidR="008A3C7A" w14:paraId="17469538" w14:textId="77777777" w:rsidTr="00C63DC7">
        <w:tc>
          <w:tcPr>
            <w:tcW w:w="4508" w:type="dxa"/>
          </w:tcPr>
          <w:p w14:paraId="1B967B64" w14:textId="77777777" w:rsidR="008A3C7A" w:rsidRDefault="008A3C7A" w:rsidP="00D553C2">
            <w:r>
              <w:t>Disagree</w:t>
            </w:r>
          </w:p>
        </w:tc>
        <w:tc>
          <w:tcPr>
            <w:tcW w:w="9662" w:type="dxa"/>
          </w:tcPr>
          <w:p w14:paraId="77085F8D" w14:textId="32EA0449" w:rsidR="008A3C7A" w:rsidRDefault="00C63DC7" w:rsidP="00D553C2">
            <w:r>
              <w:t>3</w:t>
            </w:r>
          </w:p>
        </w:tc>
      </w:tr>
      <w:tr w:rsidR="008A3C7A" w14:paraId="7F570090" w14:textId="77777777" w:rsidTr="00C63DC7">
        <w:tc>
          <w:tcPr>
            <w:tcW w:w="4508" w:type="dxa"/>
          </w:tcPr>
          <w:p w14:paraId="09D73587" w14:textId="77777777" w:rsidR="008A3C7A" w:rsidRDefault="008A3C7A" w:rsidP="00D553C2">
            <w:r>
              <w:t>Strongly Disagree</w:t>
            </w:r>
          </w:p>
        </w:tc>
        <w:tc>
          <w:tcPr>
            <w:tcW w:w="9662" w:type="dxa"/>
          </w:tcPr>
          <w:p w14:paraId="202D27A7" w14:textId="56B345DA" w:rsidR="008A3C7A" w:rsidRDefault="00C63DC7" w:rsidP="00D553C2">
            <w:r>
              <w:t>0</w:t>
            </w:r>
          </w:p>
        </w:tc>
      </w:tr>
      <w:tr w:rsidR="008A3C7A" w14:paraId="067E478A" w14:textId="77777777" w:rsidTr="00C63DC7">
        <w:tc>
          <w:tcPr>
            <w:tcW w:w="4508" w:type="dxa"/>
          </w:tcPr>
          <w:p w14:paraId="47BD9EC8" w14:textId="77777777" w:rsidR="008A3C7A" w:rsidRDefault="008A3C7A" w:rsidP="00D553C2">
            <w:r>
              <w:t>Don’t know</w:t>
            </w:r>
          </w:p>
        </w:tc>
        <w:tc>
          <w:tcPr>
            <w:tcW w:w="9662" w:type="dxa"/>
          </w:tcPr>
          <w:p w14:paraId="50812BE8" w14:textId="368B9429" w:rsidR="008A3C7A" w:rsidRDefault="00C63DC7" w:rsidP="00D553C2">
            <w:r>
              <w:t>0</w:t>
            </w:r>
          </w:p>
        </w:tc>
      </w:tr>
    </w:tbl>
    <w:p w14:paraId="292F85D2" w14:textId="77777777" w:rsidR="008A3C7A" w:rsidRDefault="008A3C7A" w:rsidP="008A3C7A">
      <w:pPr>
        <w:rPr>
          <w:rFonts w:ascii="Arial" w:hAnsi="Arial" w:cs="Arial"/>
        </w:rPr>
      </w:pPr>
    </w:p>
    <w:p w14:paraId="1F2D8622" w14:textId="590DDD49" w:rsidR="008A3C7A" w:rsidRDefault="008A3C7A" w:rsidP="00C63DC7">
      <w:pPr>
        <w:shd w:val="clear" w:color="auto" w:fill="FFFFFF"/>
        <w:spacing w:before="100" w:beforeAutospacing="1" w:after="100" w:afterAutospacing="1"/>
        <w:jc w:val="both"/>
        <w:rPr>
          <w:b/>
          <w:bCs/>
        </w:rPr>
      </w:pPr>
      <w:r w:rsidRPr="00C63DC7">
        <w:rPr>
          <w:b/>
          <w:bCs/>
        </w:rPr>
        <w:lastRenderedPageBreak/>
        <w:t>Q</w:t>
      </w:r>
      <w:r w:rsidR="00C63DC7">
        <w:rPr>
          <w:b/>
          <w:bCs/>
        </w:rPr>
        <w:t>9 and Q</w:t>
      </w:r>
      <w:r w:rsidRPr="00C63DC7">
        <w:rPr>
          <w:b/>
          <w:bCs/>
        </w:rPr>
        <w:t>10: To what extent do you agree or disagree that the draft policy protects children from harm?</w:t>
      </w:r>
    </w:p>
    <w:p w14:paraId="3274E820" w14:textId="3D656962" w:rsidR="00C63DC7" w:rsidRPr="00C63DC7" w:rsidRDefault="00AA441B" w:rsidP="00C63DC7">
      <w:pPr>
        <w:shd w:val="clear" w:color="auto" w:fill="FFFFFF"/>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Twenty-three</w:t>
      </w:r>
      <w:r w:rsidR="00C63DC7">
        <w:rPr>
          <w:rFonts w:ascii="Arial" w:eastAsia="Times New Roman" w:hAnsi="Arial" w:cs="Arial"/>
          <w:lang w:eastAsia="en-GB"/>
        </w:rPr>
        <w:t xml:space="preserve"> of the respondents opted to answer this question. </w:t>
      </w:r>
      <w:r>
        <w:rPr>
          <w:rFonts w:ascii="Arial" w:eastAsia="Times New Roman" w:hAnsi="Arial" w:cs="Arial"/>
          <w:lang w:eastAsia="en-GB"/>
        </w:rPr>
        <w:t>Seventy percent of them agreed that the draft policy protected children from harm.  Two respondents disagreed or strongly disagreed with the fact that it protected children from harm. No specific suggestions were submitted to improve protection. The comments were of a more general nature around the need to safeguard children’s welfare.</w:t>
      </w:r>
    </w:p>
    <w:tbl>
      <w:tblPr>
        <w:tblStyle w:val="TableGrid"/>
        <w:tblW w:w="0" w:type="auto"/>
        <w:tblLook w:val="04A0" w:firstRow="1" w:lastRow="0" w:firstColumn="1" w:lastColumn="0" w:noHBand="0" w:noVBand="1"/>
      </w:tblPr>
      <w:tblGrid>
        <w:gridCol w:w="4508"/>
        <w:gridCol w:w="9662"/>
      </w:tblGrid>
      <w:tr w:rsidR="008A3C7A" w14:paraId="1D58F4C7" w14:textId="77777777" w:rsidTr="00C63DC7">
        <w:tc>
          <w:tcPr>
            <w:tcW w:w="4508" w:type="dxa"/>
          </w:tcPr>
          <w:p w14:paraId="307F8CB6" w14:textId="77777777" w:rsidR="008A3C7A" w:rsidRDefault="008A3C7A" w:rsidP="00D553C2">
            <w:r>
              <w:t>Strongly Agree</w:t>
            </w:r>
          </w:p>
        </w:tc>
        <w:tc>
          <w:tcPr>
            <w:tcW w:w="9662" w:type="dxa"/>
          </w:tcPr>
          <w:p w14:paraId="2845EB19" w14:textId="03EF1D67" w:rsidR="008A3C7A" w:rsidRDefault="00C63DC7" w:rsidP="00D553C2">
            <w:r>
              <w:t>4</w:t>
            </w:r>
          </w:p>
        </w:tc>
      </w:tr>
      <w:tr w:rsidR="008A3C7A" w14:paraId="47994AC5" w14:textId="77777777" w:rsidTr="00C63DC7">
        <w:tc>
          <w:tcPr>
            <w:tcW w:w="4508" w:type="dxa"/>
          </w:tcPr>
          <w:p w14:paraId="78B32FD6" w14:textId="77777777" w:rsidR="008A3C7A" w:rsidRDefault="008A3C7A" w:rsidP="00D553C2">
            <w:r>
              <w:t>Agree</w:t>
            </w:r>
          </w:p>
        </w:tc>
        <w:tc>
          <w:tcPr>
            <w:tcW w:w="9662" w:type="dxa"/>
          </w:tcPr>
          <w:p w14:paraId="0D3F11C4" w14:textId="64551975" w:rsidR="008A3C7A" w:rsidRDefault="00C63DC7" w:rsidP="00D553C2">
            <w:r>
              <w:t>12</w:t>
            </w:r>
          </w:p>
        </w:tc>
      </w:tr>
      <w:tr w:rsidR="008A3C7A" w14:paraId="0273C803" w14:textId="77777777" w:rsidTr="00C63DC7">
        <w:tc>
          <w:tcPr>
            <w:tcW w:w="4508" w:type="dxa"/>
          </w:tcPr>
          <w:p w14:paraId="5ED634BE" w14:textId="77777777" w:rsidR="008A3C7A" w:rsidRDefault="008A3C7A" w:rsidP="00D553C2">
            <w:r>
              <w:t>Neither Agree or Disagree</w:t>
            </w:r>
          </w:p>
        </w:tc>
        <w:tc>
          <w:tcPr>
            <w:tcW w:w="9662" w:type="dxa"/>
          </w:tcPr>
          <w:p w14:paraId="5AB23A4F" w14:textId="2FBE7792" w:rsidR="008A3C7A" w:rsidRDefault="00C63DC7" w:rsidP="00D553C2">
            <w:r>
              <w:t>5</w:t>
            </w:r>
          </w:p>
        </w:tc>
      </w:tr>
      <w:tr w:rsidR="008A3C7A" w14:paraId="12ECCE1A" w14:textId="77777777" w:rsidTr="00C63DC7">
        <w:tc>
          <w:tcPr>
            <w:tcW w:w="4508" w:type="dxa"/>
          </w:tcPr>
          <w:p w14:paraId="2ECCD05E" w14:textId="77777777" w:rsidR="008A3C7A" w:rsidRDefault="008A3C7A" w:rsidP="00D553C2">
            <w:r>
              <w:t>Disagree</w:t>
            </w:r>
          </w:p>
        </w:tc>
        <w:tc>
          <w:tcPr>
            <w:tcW w:w="9662" w:type="dxa"/>
          </w:tcPr>
          <w:p w14:paraId="02625F40" w14:textId="38FDDC41" w:rsidR="008A3C7A" w:rsidRDefault="00C63DC7" w:rsidP="00D553C2">
            <w:r>
              <w:t>1</w:t>
            </w:r>
          </w:p>
        </w:tc>
      </w:tr>
      <w:tr w:rsidR="008A3C7A" w14:paraId="11C4998C" w14:textId="77777777" w:rsidTr="00C63DC7">
        <w:tc>
          <w:tcPr>
            <w:tcW w:w="4508" w:type="dxa"/>
          </w:tcPr>
          <w:p w14:paraId="21AB899A" w14:textId="77777777" w:rsidR="008A3C7A" w:rsidRDefault="008A3C7A" w:rsidP="00D553C2">
            <w:r>
              <w:t>Strongly Disagree</w:t>
            </w:r>
          </w:p>
        </w:tc>
        <w:tc>
          <w:tcPr>
            <w:tcW w:w="9662" w:type="dxa"/>
          </w:tcPr>
          <w:p w14:paraId="4CCA8E5E" w14:textId="7DF776A3" w:rsidR="008A3C7A" w:rsidRDefault="00C63DC7" w:rsidP="00D553C2">
            <w:r>
              <w:t>1</w:t>
            </w:r>
          </w:p>
        </w:tc>
      </w:tr>
      <w:tr w:rsidR="008A3C7A" w14:paraId="60064676" w14:textId="77777777" w:rsidTr="00C63DC7">
        <w:tc>
          <w:tcPr>
            <w:tcW w:w="4508" w:type="dxa"/>
          </w:tcPr>
          <w:p w14:paraId="3E434AD4" w14:textId="77777777" w:rsidR="008A3C7A" w:rsidRDefault="008A3C7A" w:rsidP="00D553C2">
            <w:r>
              <w:t>Don’t know</w:t>
            </w:r>
          </w:p>
        </w:tc>
        <w:tc>
          <w:tcPr>
            <w:tcW w:w="9662" w:type="dxa"/>
          </w:tcPr>
          <w:p w14:paraId="369A7EFB" w14:textId="198F40EE" w:rsidR="008A3C7A" w:rsidRDefault="00C63DC7" w:rsidP="00D553C2">
            <w:r>
              <w:t>0</w:t>
            </w:r>
          </w:p>
        </w:tc>
      </w:tr>
    </w:tbl>
    <w:p w14:paraId="31A4C192" w14:textId="77777777" w:rsidR="008A3C7A" w:rsidRDefault="008A3C7A" w:rsidP="008A3C7A">
      <w:pPr>
        <w:rPr>
          <w:rFonts w:ascii="Arial" w:hAnsi="Arial" w:cs="Arial"/>
        </w:rPr>
      </w:pPr>
    </w:p>
    <w:p w14:paraId="18A2DC74" w14:textId="720B2626" w:rsidR="008A3C7A" w:rsidRDefault="008A3C7A" w:rsidP="008A3C7A">
      <w:pPr>
        <w:rPr>
          <w:b/>
          <w:bCs/>
        </w:rPr>
      </w:pPr>
      <w:r w:rsidRPr="00AA441B">
        <w:rPr>
          <w:rFonts w:ascii="Arial" w:hAnsi="Arial" w:cs="Arial"/>
          <w:b/>
          <w:bCs/>
        </w:rPr>
        <w:t>Q</w:t>
      </w:r>
      <w:r w:rsidR="00521200">
        <w:rPr>
          <w:rFonts w:ascii="Arial" w:hAnsi="Arial" w:cs="Arial"/>
          <w:b/>
          <w:bCs/>
        </w:rPr>
        <w:t>11 and Q</w:t>
      </w:r>
      <w:r w:rsidRPr="00AA441B">
        <w:rPr>
          <w:rFonts w:ascii="Arial" w:hAnsi="Arial" w:cs="Arial"/>
          <w:b/>
          <w:bCs/>
        </w:rPr>
        <w:t xml:space="preserve">12: To what extent do </w:t>
      </w:r>
      <w:r w:rsidRPr="00AA441B">
        <w:rPr>
          <w:b/>
          <w:bCs/>
        </w:rPr>
        <w:t>you agree or disagree that the draft policy includes everything you think should be in such a policy?</w:t>
      </w:r>
    </w:p>
    <w:p w14:paraId="6D010587" w14:textId="77777777" w:rsidR="00AA441B" w:rsidRDefault="00AA441B" w:rsidP="008A3C7A">
      <w:pPr>
        <w:rPr>
          <w:b/>
          <w:bCs/>
        </w:rPr>
      </w:pPr>
    </w:p>
    <w:p w14:paraId="74D630BC" w14:textId="5CA2FD1F" w:rsidR="00AA441B" w:rsidRPr="00AA441B" w:rsidRDefault="00AA441B" w:rsidP="008A3C7A">
      <w:r>
        <w:t xml:space="preserve">One of the respondents suggested that the </w:t>
      </w:r>
      <w:bookmarkStart w:id="3" w:name="_Hlk146628221"/>
      <w:r>
        <w:t>p</w:t>
      </w:r>
      <w:r w:rsidRPr="00AA441B">
        <w:t xml:space="preserve">olicy should include the expectations around Late Night Entertainment venues to include Door Staff with BWV and high viz uniform, the use of ID Scanners for entry to such venues. This should be from 22:00 for venues open beyond 01:00, providing recorded or </w:t>
      </w:r>
      <w:r>
        <w:t>l</w:t>
      </w:r>
      <w:r w:rsidRPr="00AA441B">
        <w:t>ive music.</w:t>
      </w:r>
      <w:bookmarkEnd w:id="3"/>
    </w:p>
    <w:p w14:paraId="3AEFFC86" w14:textId="77777777" w:rsidR="008A3C7A" w:rsidRDefault="008A3C7A" w:rsidP="008A3C7A"/>
    <w:tbl>
      <w:tblPr>
        <w:tblStyle w:val="TableGrid"/>
        <w:tblW w:w="0" w:type="auto"/>
        <w:tblLook w:val="04A0" w:firstRow="1" w:lastRow="0" w:firstColumn="1" w:lastColumn="0" w:noHBand="0" w:noVBand="1"/>
      </w:tblPr>
      <w:tblGrid>
        <w:gridCol w:w="4508"/>
        <w:gridCol w:w="9662"/>
      </w:tblGrid>
      <w:tr w:rsidR="008A3C7A" w14:paraId="5B1565E6" w14:textId="77777777" w:rsidTr="00AA441B">
        <w:tc>
          <w:tcPr>
            <w:tcW w:w="4508" w:type="dxa"/>
          </w:tcPr>
          <w:p w14:paraId="23B764DE" w14:textId="77777777" w:rsidR="008A3C7A" w:rsidRDefault="008A3C7A" w:rsidP="00D553C2">
            <w:r>
              <w:t>Strongly Agree</w:t>
            </w:r>
          </w:p>
        </w:tc>
        <w:tc>
          <w:tcPr>
            <w:tcW w:w="9662" w:type="dxa"/>
          </w:tcPr>
          <w:p w14:paraId="4DA5575D" w14:textId="665EEED6" w:rsidR="008A3C7A" w:rsidRDefault="00AA441B" w:rsidP="00D553C2">
            <w:r>
              <w:t>2</w:t>
            </w:r>
          </w:p>
        </w:tc>
      </w:tr>
      <w:tr w:rsidR="008A3C7A" w14:paraId="7C26862B" w14:textId="77777777" w:rsidTr="00AA441B">
        <w:tc>
          <w:tcPr>
            <w:tcW w:w="4508" w:type="dxa"/>
          </w:tcPr>
          <w:p w14:paraId="5EF2FD99" w14:textId="77777777" w:rsidR="008A3C7A" w:rsidRDefault="008A3C7A" w:rsidP="00D553C2">
            <w:r>
              <w:t>Agree</w:t>
            </w:r>
          </w:p>
        </w:tc>
        <w:tc>
          <w:tcPr>
            <w:tcW w:w="9662" w:type="dxa"/>
          </w:tcPr>
          <w:p w14:paraId="2AF7B6A4" w14:textId="3066E257" w:rsidR="008A3C7A" w:rsidRDefault="00AA441B" w:rsidP="00D553C2">
            <w:r>
              <w:t>12</w:t>
            </w:r>
          </w:p>
        </w:tc>
      </w:tr>
      <w:tr w:rsidR="008A3C7A" w14:paraId="662C9E92" w14:textId="77777777" w:rsidTr="00AA441B">
        <w:tc>
          <w:tcPr>
            <w:tcW w:w="4508" w:type="dxa"/>
          </w:tcPr>
          <w:p w14:paraId="6CF62298" w14:textId="77777777" w:rsidR="008A3C7A" w:rsidRDefault="008A3C7A" w:rsidP="00D553C2">
            <w:r>
              <w:t>Neither Agree or Disagree</w:t>
            </w:r>
          </w:p>
        </w:tc>
        <w:tc>
          <w:tcPr>
            <w:tcW w:w="9662" w:type="dxa"/>
          </w:tcPr>
          <w:p w14:paraId="399A0E8A" w14:textId="7605FE6A" w:rsidR="008A3C7A" w:rsidRDefault="00AA441B" w:rsidP="00D553C2">
            <w:r>
              <w:t>6</w:t>
            </w:r>
          </w:p>
        </w:tc>
      </w:tr>
      <w:tr w:rsidR="008A3C7A" w14:paraId="2B145B16" w14:textId="77777777" w:rsidTr="00AA441B">
        <w:tc>
          <w:tcPr>
            <w:tcW w:w="4508" w:type="dxa"/>
          </w:tcPr>
          <w:p w14:paraId="58CC2A18" w14:textId="77777777" w:rsidR="008A3C7A" w:rsidRDefault="008A3C7A" w:rsidP="00D553C2">
            <w:r>
              <w:t>Disagree</w:t>
            </w:r>
          </w:p>
        </w:tc>
        <w:tc>
          <w:tcPr>
            <w:tcW w:w="9662" w:type="dxa"/>
          </w:tcPr>
          <w:p w14:paraId="2B77B981" w14:textId="5EFE2E67" w:rsidR="008A3C7A" w:rsidRDefault="00AA441B" w:rsidP="00D553C2">
            <w:r>
              <w:t>1</w:t>
            </w:r>
          </w:p>
        </w:tc>
      </w:tr>
      <w:tr w:rsidR="008A3C7A" w14:paraId="3D8BC6CC" w14:textId="77777777" w:rsidTr="00AA441B">
        <w:tc>
          <w:tcPr>
            <w:tcW w:w="4508" w:type="dxa"/>
          </w:tcPr>
          <w:p w14:paraId="46F730EF" w14:textId="77777777" w:rsidR="008A3C7A" w:rsidRDefault="008A3C7A" w:rsidP="00D553C2">
            <w:r>
              <w:t>Strongly Disagree</w:t>
            </w:r>
          </w:p>
        </w:tc>
        <w:tc>
          <w:tcPr>
            <w:tcW w:w="9662" w:type="dxa"/>
          </w:tcPr>
          <w:p w14:paraId="141D27C7" w14:textId="58471609" w:rsidR="008A3C7A" w:rsidRDefault="00AA441B" w:rsidP="00D553C2">
            <w:r>
              <w:t>0</w:t>
            </w:r>
          </w:p>
        </w:tc>
      </w:tr>
      <w:tr w:rsidR="008A3C7A" w14:paraId="6404B30F" w14:textId="77777777" w:rsidTr="00AA441B">
        <w:tc>
          <w:tcPr>
            <w:tcW w:w="4508" w:type="dxa"/>
          </w:tcPr>
          <w:p w14:paraId="36566138" w14:textId="77777777" w:rsidR="008A3C7A" w:rsidRDefault="008A3C7A" w:rsidP="00D553C2">
            <w:r>
              <w:t>Don’t know</w:t>
            </w:r>
          </w:p>
        </w:tc>
        <w:tc>
          <w:tcPr>
            <w:tcW w:w="9662" w:type="dxa"/>
          </w:tcPr>
          <w:p w14:paraId="2ADC6468" w14:textId="3A253156" w:rsidR="008A3C7A" w:rsidRDefault="00AA441B" w:rsidP="00D553C2">
            <w:r>
              <w:t>1</w:t>
            </w:r>
          </w:p>
        </w:tc>
      </w:tr>
    </w:tbl>
    <w:p w14:paraId="23563904" w14:textId="77777777" w:rsidR="008A3C7A" w:rsidRDefault="008A3C7A" w:rsidP="008A3C7A">
      <w:pPr>
        <w:rPr>
          <w:rFonts w:ascii="Arial" w:hAnsi="Arial" w:cs="Arial"/>
        </w:rPr>
      </w:pPr>
    </w:p>
    <w:p w14:paraId="3DD61DE1" w14:textId="49F27CF5" w:rsidR="008A3C7A" w:rsidRPr="00AA441B" w:rsidRDefault="008A3C7A" w:rsidP="008A3C7A">
      <w:pPr>
        <w:pStyle w:val="Heading4"/>
        <w:shd w:val="clear" w:color="auto" w:fill="FFFFFF"/>
        <w:spacing w:before="0" w:after="0"/>
        <w:rPr>
          <w:rFonts w:asciiTheme="majorHAnsi" w:eastAsia="Times New Roman" w:hAnsiTheme="majorHAnsi" w:cstheme="majorHAnsi"/>
          <w:bCs w:val="0"/>
          <w:color w:val="404040"/>
          <w:sz w:val="24"/>
          <w:szCs w:val="24"/>
          <w:bdr w:val="none" w:sz="0" w:space="0" w:color="auto" w:frame="1"/>
          <w:lang w:eastAsia="en-GB"/>
        </w:rPr>
      </w:pPr>
      <w:r w:rsidRPr="00AA441B">
        <w:rPr>
          <w:rFonts w:asciiTheme="majorHAnsi" w:hAnsiTheme="majorHAnsi" w:cstheme="majorHAnsi"/>
          <w:bCs w:val="0"/>
          <w:sz w:val="24"/>
          <w:szCs w:val="24"/>
        </w:rPr>
        <w:t>Q13</w:t>
      </w:r>
      <w:r w:rsidR="00521200">
        <w:rPr>
          <w:rFonts w:asciiTheme="majorHAnsi" w:hAnsiTheme="majorHAnsi" w:cstheme="majorHAnsi"/>
          <w:bCs w:val="0"/>
          <w:sz w:val="24"/>
          <w:szCs w:val="24"/>
        </w:rPr>
        <w:t xml:space="preserve"> and Q14</w:t>
      </w:r>
      <w:r w:rsidRPr="00AA441B">
        <w:rPr>
          <w:rFonts w:asciiTheme="majorHAnsi" w:hAnsiTheme="majorHAnsi" w:cstheme="majorHAnsi"/>
          <w:bCs w:val="0"/>
          <w:sz w:val="24"/>
          <w:szCs w:val="24"/>
        </w:rPr>
        <w:t xml:space="preserve">: </w:t>
      </w:r>
      <w:r w:rsidR="00AA441B" w:rsidRPr="00AA441B">
        <w:rPr>
          <w:rFonts w:asciiTheme="majorHAnsi" w:hAnsiTheme="majorHAnsi" w:cstheme="majorHAnsi"/>
          <w:bCs w:val="0"/>
          <w:sz w:val="24"/>
          <w:szCs w:val="24"/>
        </w:rPr>
        <w:t>Are there any specific impacts or alternatives that you think the council should consider?</w:t>
      </w:r>
    </w:p>
    <w:p w14:paraId="5A4508E5" w14:textId="77777777" w:rsidR="008A3C7A" w:rsidRDefault="008A3C7A" w:rsidP="008A3C7A">
      <w:pPr>
        <w:rPr>
          <w:lang w:eastAsia="en-GB"/>
        </w:rPr>
      </w:pPr>
    </w:p>
    <w:p w14:paraId="69EDBC3F" w14:textId="6EC95BF4" w:rsidR="008A3C7A" w:rsidRDefault="00AA441B" w:rsidP="008A3C7A">
      <w:pPr>
        <w:rPr>
          <w:lang w:eastAsia="en-GB"/>
        </w:rPr>
      </w:pPr>
      <w:r>
        <w:rPr>
          <w:lang w:eastAsia="en-GB"/>
        </w:rPr>
        <w:t>Of the 22 responses to this question, 5 (23%) indicated that there were other impacts that should be considered. The other 17 (77%) stated that there were no further impacts that needed to be considered.</w:t>
      </w:r>
    </w:p>
    <w:p w14:paraId="2D241D86" w14:textId="77777777" w:rsidR="00AA441B" w:rsidRPr="00E71E3E" w:rsidRDefault="00AA441B" w:rsidP="008A3C7A">
      <w:pPr>
        <w:rPr>
          <w:lang w:eastAsia="en-GB"/>
        </w:rPr>
      </w:pPr>
    </w:p>
    <w:p w14:paraId="605BA932" w14:textId="42321339" w:rsidR="008A3C7A" w:rsidRDefault="00AA441B" w:rsidP="008A3C7A">
      <w:pPr>
        <w:rPr>
          <w:rFonts w:ascii="Arial" w:hAnsi="Arial" w:cs="Arial"/>
        </w:rPr>
      </w:pPr>
      <w:r>
        <w:rPr>
          <w:rFonts w:ascii="Arial" w:hAnsi="Arial" w:cs="Arial"/>
        </w:rPr>
        <w:lastRenderedPageBreak/>
        <w:t xml:space="preserve">The comments included: </w:t>
      </w:r>
    </w:p>
    <w:p w14:paraId="3A3CEC61" w14:textId="597C7922" w:rsidR="00AA441B" w:rsidRDefault="00AA441B" w:rsidP="00AA441B">
      <w:pPr>
        <w:pStyle w:val="ListParagraph"/>
        <w:numPr>
          <w:ilvl w:val="0"/>
          <w:numId w:val="8"/>
        </w:numPr>
        <w:rPr>
          <w:rFonts w:ascii="Arial" w:hAnsi="Arial" w:cs="Arial"/>
        </w:rPr>
      </w:pPr>
      <w:r w:rsidRPr="00AA441B">
        <w:rPr>
          <w:rFonts w:ascii="Arial" w:hAnsi="Arial" w:cs="Arial"/>
        </w:rPr>
        <w:t>stop pop up pubs on village greens and alcohol events on a village green</w:t>
      </w:r>
      <w:r w:rsidR="009309D6">
        <w:rPr>
          <w:rFonts w:ascii="Arial" w:hAnsi="Arial" w:cs="Arial"/>
        </w:rPr>
        <w:t>.</w:t>
      </w:r>
    </w:p>
    <w:p w14:paraId="6A7FF4EC" w14:textId="7DDDDAE9" w:rsidR="00AA441B" w:rsidRPr="00826E52" w:rsidRDefault="009309D6" w:rsidP="00826E52">
      <w:pPr>
        <w:pStyle w:val="ListParagraph"/>
        <w:numPr>
          <w:ilvl w:val="0"/>
          <w:numId w:val="8"/>
        </w:numPr>
        <w:spacing w:before="240" w:after="240"/>
      </w:pPr>
      <w:bookmarkStart w:id="4" w:name="_Hlk146628743"/>
      <w:r w:rsidRPr="00826E52">
        <w:t>The policy does not indicate time scales for reasonable replies to communication regarding applications for licenses and how this should be escalated if not satisfactory</w:t>
      </w:r>
      <w:bookmarkEnd w:id="4"/>
      <w:r w:rsidRPr="00826E52">
        <w:t>.</w:t>
      </w:r>
    </w:p>
    <w:p w14:paraId="1157AE31" w14:textId="73573F97" w:rsidR="009309D6" w:rsidRDefault="009309D6" w:rsidP="00642DA8">
      <w:pPr>
        <w:pStyle w:val="ListParagraph"/>
        <w:numPr>
          <w:ilvl w:val="0"/>
          <w:numId w:val="8"/>
        </w:numPr>
        <w:rPr>
          <w:rFonts w:ascii="Arial" w:hAnsi="Arial" w:cs="Arial"/>
        </w:rPr>
      </w:pPr>
      <w:r w:rsidRPr="009309D6">
        <w:rPr>
          <w:rFonts w:ascii="Arial" w:hAnsi="Arial" w:cs="Arial"/>
        </w:rPr>
        <w:t xml:space="preserve">Not to let a sports </w:t>
      </w:r>
      <w:r>
        <w:rPr>
          <w:rFonts w:ascii="Arial" w:hAnsi="Arial" w:cs="Arial"/>
        </w:rPr>
        <w:t xml:space="preserve">pavilion </w:t>
      </w:r>
      <w:r w:rsidRPr="009309D6">
        <w:rPr>
          <w:rFonts w:ascii="Arial" w:hAnsi="Arial" w:cs="Arial"/>
        </w:rPr>
        <w:t>on a recreation ground which is solely for football and sports, to be used as a public house premises</w:t>
      </w:r>
      <w:r>
        <w:rPr>
          <w:rFonts w:ascii="Arial" w:hAnsi="Arial" w:cs="Arial"/>
        </w:rPr>
        <w:t>.</w:t>
      </w:r>
    </w:p>
    <w:p w14:paraId="0D07491A" w14:textId="6C1F0B09" w:rsidR="009309D6" w:rsidRDefault="009309D6" w:rsidP="00800C7F">
      <w:pPr>
        <w:pStyle w:val="ListParagraph"/>
        <w:numPr>
          <w:ilvl w:val="0"/>
          <w:numId w:val="8"/>
        </w:numPr>
        <w:rPr>
          <w:rFonts w:ascii="Arial" w:hAnsi="Arial" w:cs="Arial"/>
          <w:highlight w:val="yellow"/>
        </w:rPr>
      </w:pPr>
      <w:r w:rsidRPr="009309D6">
        <w:rPr>
          <w:rFonts w:ascii="Arial" w:hAnsi="Arial" w:cs="Arial"/>
          <w:highlight w:val="yellow"/>
        </w:rPr>
        <w:t>section 12.3 should state Environmental Health (Environmental Protection), section 12.7 should state Environmental Health (Environmental Protection) and section 12.4 line 1 should state "five"</w:t>
      </w:r>
      <w:r>
        <w:rPr>
          <w:rFonts w:ascii="Arial" w:hAnsi="Arial" w:cs="Arial"/>
          <w:highlight w:val="yellow"/>
        </w:rPr>
        <w:t>.</w:t>
      </w:r>
    </w:p>
    <w:p w14:paraId="12524B01" w14:textId="312375FF" w:rsidR="009309D6" w:rsidRPr="009309D6" w:rsidRDefault="009309D6" w:rsidP="00800C7F">
      <w:pPr>
        <w:pStyle w:val="ListParagraph"/>
        <w:numPr>
          <w:ilvl w:val="0"/>
          <w:numId w:val="8"/>
        </w:numPr>
        <w:rPr>
          <w:rFonts w:ascii="Arial" w:hAnsi="Arial" w:cs="Arial"/>
          <w:highlight w:val="yellow"/>
        </w:rPr>
      </w:pPr>
      <w:bookmarkStart w:id="5" w:name="_Hlk146628777"/>
      <w:r w:rsidRPr="009309D6">
        <w:rPr>
          <w:rFonts w:ascii="Arial" w:hAnsi="Arial" w:cs="Arial"/>
        </w:rPr>
        <w:t>More stringent controls to who is licensed and also give licencees more power</w:t>
      </w:r>
      <w:r>
        <w:rPr>
          <w:rFonts w:ascii="Arial" w:hAnsi="Arial" w:cs="Arial"/>
        </w:rPr>
        <w:t>.</w:t>
      </w:r>
    </w:p>
    <w:bookmarkEnd w:id="5"/>
    <w:p w14:paraId="55401131" w14:textId="77777777" w:rsidR="009309D6" w:rsidRDefault="009309D6" w:rsidP="009309D6">
      <w:pPr>
        <w:rPr>
          <w:rFonts w:ascii="Arial" w:hAnsi="Arial" w:cs="Arial"/>
        </w:rPr>
      </w:pPr>
    </w:p>
    <w:p w14:paraId="0B06C1D7" w14:textId="1A86920F" w:rsidR="008A3C7A" w:rsidRPr="009309D6" w:rsidRDefault="008A3C7A" w:rsidP="008A3C7A">
      <w:pPr>
        <w:rPr>
          <w:b/>
          <w:bCs/>
        </w:rPr>
      </w:pPr>
      <w:r w:rsidRPr="009309D6">
        <w:rPr>
          <w:b/>
          <w:bCs/>
        </w:rPr>
        <w:t>Q1</w:t>
      </w:r>
      <w:r w:rsidR="009309D6">
        <w:rPr>
          <w:b/>
          <w:bCs/>
        </w:rPr>
        <w:t>5</w:t>
      </w:r>
      <w:r w:rsidRPr="009309D6">
        <w:rPr>
          <w:b/>
          <w:bCs/>
        </w:rPr>
        <w:t>: Do you have any other suggestions or comments to make?</w:t>
      </w:r>
    </w:p>
    <w:p w14:paraId="1D4701D7" w14:textId="77777777" w:rsidR="008A3C7A" w:rsidRDefault="008A3C7A" w:rsidP="008A3C7A"/>
    <w:p w14:paraId="1ADB3784" w14:textId="358FBE66" w:rsidR="008A3C7A" w:rsidRDefault="009309D6" w:rsidP="00C91433">
      <w:pPr>
        <w:ind w:right="514"/>
        <w:jc w:val="both"/>
      </w:pPr>
      <w:r>
        <w:t>We received 11 comments to this question including.</w:t>
      </w:r>
    </w:p>
    <w:p w14:paraId="713513E7" w14:textId="40381CAA" w:rsidR="009309D6" w:rsidRDefault="009309D6" w:rsidP="009309D6">
      <w:pPr>
        <w:pStyle w:val="ListParagraph"/>
        <w:numPr>
          <w:ilvl w:val="0"/>
          <w:numId w:val="9"/>
        </w:numPr>
        <w:ind w:right="514"/>
        <w:jc w:val="both"/>
      </w:pPr>
      <w:bookmarkStart w:id="6" w:name="_Hlk146628800"/>
      <w:r w:rsidRPr="009309D6">
        <w:t>The whole process needs to be speeded up</w:t>
      </w:r>
      <w:bookmarkEnd w:id="6"/>
      <w:r w:rsidRPr="009309D6">
        <w:t>.</w:t>
      </w:r>
    </w:p>
    <w:p w14:paraId="63F6AF71" w14:textId="14C92CBF" w:rsidR="009309D6" w:rsidRDefault="009309D6" w:rsidP="009309D6">
      <w:pPr>
        <w:pStyle w:val="ListParagraph"/>
        <w:numPr>
          <w:ilvl w:val="0"/>
          <w:numId w:val="9"/>
        </w:numPr>
        <w:ind w:right="514"/>
        <w:jc w:val="both"/>
      </w:pPr>
      <w:r w:rsidRPr="009309D6">
        <w:t>like I’ve said in the previous notes, sometimes things need to be explained in simple terms for people who have trouble with English, but I will 100% sure when explained in easier words that I understand. I know my job inside out and licensing, but struggle when companies use words that mean something much simpler.</w:t>
      </w:r>
    </w:p>
    <w:p w14:paraId="464DCBA6" w14:textId="0D4C5FD4" w:rsidR="009309D6" w:rsidRDefault="009309D6" w:rsidP="009309D6">
      <w:pPr>
        <w:pStyle w:val="ListParagraph"/>
        <w:numPr>
          <w:ilvl w:val="0"/>
          <w:numId w:val="9"/>
        </w:numPr>
        <w:ind w:right="514"/>
        <w:jc w:val="both"/>
      </w:pPr>
      <w:bookmarkStart w:id="7" w:name="_Hlk146628847"/>
      <w:r w:rsidRPr="009309D6">
        <w:t xml:space="preserve">Make </w:t>
      </w:r>
      <w:bookmarkStart w:id="8" w:name="_Hlk146628256"/>
      <w:r w:rsidRPr="009309D6">
        <w:t>the</w:t>
      </w:r>
      <w:r>
        <w:t xml:space="preserve"> process</w:t>
      </w:r>
      <w:r w:rsidRPr="009309D6">
        <w:t xml:space="preserve"> easy for application</w:t>
      </w:r>
      <w:r>
        <w:t>s</w:t>
      </w:r>
      <w:r w:rsidRPr="009309D6">
        <w:t xml:space="preserve"> of temporary licences for charity/small community events with a quick response to the issuing of the licence</w:t>
      </w:r>
      <w:bookmarkEnd w:id="8"/>
      <w:r w:rsidRPr="009309D6">
        <w:t>.</w:t>
      </w:r>
    </w:p>
    <w:p w14:paraId="67B47085" w14:textId="104D9DB3" w:rsidR="00EB5F5A" w:rsidRPr="00EB5F5A" w:rsidRDefault="00EB5F5A" w:rsidP="009309D6">
      <w:pPr>
        <w:pStyle w:val="ListParagraph"/>
        <w:numPr>
          <w:ilvl w:val="0"/>
          <w:numId w:val="9"/>
        </w:numPr>
        <w:ind w:right="514"/>
        <w:jc w:val="both"/>
      </w:pPr>
      <w:bookmarkStart w:id="9" w:name="_Hlk146628139"/>
      <w:bookmarkEnd w:id="7"/>
      <w:r w:rsidRPr="00186D5A">
        <w:rPr>
          <w:rFonts w:ascii="Arial" w:hAnsi="Arial" w:cs="Arial"/>
        </w:rPr>
        <w:t>I wonder if there is a way of weaving in a positive obligation to partake in ‘locally run community safety schemes’.</w:t>
      </w:r>
    </w:p>
    <w:p w14:paraId="49C8014D" w14:textId="77777777" w:rsidR="00EB5F5A" w:rsidRPr="00EB5F5A" w:rsidRDefault="00EB5F5A" w:rsidP="00EB5F5A">
      <w:pPr>
        <w:pStyle w:val="ListParagraph"/>
        <w:numPr>
          <w:ilvl w:val="0"/>
          <w:numId w:val="9"/>
        </w:numPr>
        <w:jc w:val="both"/>
        <w:rPr>
          <w:rFonts w:ascii="Arial" w:hAnsi="Arial" w:cs="Arial"/>
        </w:rPr>
      </w:pPr>
      <w:r w:rsidRPr="00EB5F5A">
        <w:rPr>
          <w:rFonts w:ascii="Arial" w:hAnsi="Arial" w:cs="Arial"/>
        </w:rPr>
        <w:t>I do agree that it would be so helpful for many of the public safety campaigns that we run if there was an expectation rather than a hope that licensees will take part in the campaigns that we run. If there was any way of weaving that expectation in, I think it would contribute considerable to community and public safety.</w:t>
      </w:r>
    </w:p>
    <w:bookmarkEnd w:id="9"/>
    <w:p w14:paraId="6BCA450D" w14:textId="495E9680" w:rsidR="00EB5F5A" w:rsidRDefault="00EB5F5A" w:rsidP="009309D6">
      <w:pPr>
        <w:pStyle w:val="ListParagraph"/>
        <w:numPr>
          <w:ilvl w:val="0"/>
          <w:numId w:val="9"/>
        </w:numPr>
        <w:ind w:right="514"/>
        <w:jc w:val="both"/>
      </w:pPr>
      <w:r>
        <w:t xml:space="preserve">One of the respondents identified a few typographical, grammatical and stylistic comments for consideration for inclusion in the document. </w:t>
      </w:r>
    </w:p>
    <w:p w14:paraId="48E8DA2B" w14:textId="7A9068B8" w:rsidR="009309D6" w:rsidRDefault="00EB5F5A" w:rsidP="0017144A">
      <w:pPr>
        <w:pStyle w:val="ListParagraph"/>
        <w:numPr>
          <w:ilvl w:val="0"/>
          <w:numId w:val="9"/>
        </w:numPr>
        <w:ind w:right="514"/>
        <w:jc w:val="both"/>
      </w:pPr>
      <w:r>
        <w:t>They also commented that 3</w:t>
      </w:r>
      <w:bookmarkStart w:id="10" w:name="_Hlk146628304"/>
      <w:r>
        <w:t xml:space="preserve">.3 – is (in relation to plan scale) “however the Council will accept plans of an alternative scale provided this is approved prior to submitting the application” correct? Clearly, there is a tension between the GOV.UK guidance (“Unless you have previously agreed with the relevant licensing authority in writing that an alternative scale plan is acceptable to it, the plan should be drawn in standard scale, where 1 millimetre represents 100 millimetres.”) and the s182 Guidance (“Plans, for written and electronic applications, will not be required to be submitted in any particular scale, but they must be in a format which is “clear and legible in all material respects”, i.e. they must be accessible and provides sufficient detail for the licensing authority to be able to determine the application, including the relative size of any features relevant to the application. There is no requirement for plans to be professionally drawn as long as they clearly show all the prescribed information.”). Surely the </w:t>
      </w:r>
      <w:r>
        <w:lastRenderedPageBreak/>
        <w:t>s.182 guidance trumps the GOV.UK version, so that there is no need for an applicant to agree an alternative plan scale in advance provided that the plans are clear and legible in all respects? 4</w:t>
      </w:r>
    </w:p>
    <w:bookmarkEnd w:id="10"/>
    <w:p w14:paraId="59F0691C" w14:textId="77777777" w:rsidR="000B4F06" w:rsidRDefault="000B4F06" w:rsidP="00C91433">
      <w:pPr>
        <w:pStyle w:val="Heading2"/>
        <w:ind w:right="514"/>
        <w:jc w:val="both"/>
      </w:pPr>
      <w:r>
        <w:t>What We Are Proposing To Do</w:t>
      </w:r>
      <w:r w:rsidR="002A489D">
        <w:t xml:space="preserve"> </w:t>
      </w:r>
    </w:p>
    <w:p w14:paraId="1ACC50E6" w14:textId="3DEA7628" w:rsidR="009309D6" w:rsidRDefault="0056415C" w:rsidP="0056415C">
      <w:pPr>
        <w:rPr>
          <w:rStyle w:val="fontstyle01"/>
          <w:rFonts w:asciiTheme="minorHAnsi" w:hAnsiTheme="minorHAnsi" w:cstheme="minorHAnsi"/>
        </w:rPr>
      </w:pPr>
      <w:r w:rsidRPr="009309D6">
        <w:rPr>
          <w:rStyle w:val="fontstyle01"/>
          <w:rFonts w:asciiTheme="minorHAnsi" w:hAnsiTheme="minorHAnsi" w:cstheme="minorHAnsi"/>
        </w:rPr>
        <w:t>Following the consultation</w:t>
      </w:r>
      <w:r w:rsidR="00521200">
        <w:rPr>
          <w:rStyle w:val="fontstyle01"/>
          <w:rFonts w:asciiTheme="minorHAnsi" w:hAnsiTheme="minorHAnsi" w:cstheme="minorHAnsi"/>
        </w:rPr>
        <w:t xml:space="preserve"> officers will consider any proposals for amending the draft policy. A</w:t>
      </w:r>
      <w:r w:rsidRPr="009309D6">
        <w:rPr>
          <w:rStyle w:val="fontstyle01"/>
          <w:rFonts w:asciiTheme="minorHAnsi" w:hAnsiTheme="minorHAnsi" w:cstheme="minorHAnsi"/>
        </w:rPr>
        <w:t xml:space="preserve"> summary of the responses received will be </w:t>
      </w:r>
      <w:r w:rsidR="009309D6">
        <w:rPr>
          <w:rStyle w:val="fontstyle01"/>
          <w:rFonts w:asciiTheme="minorHAnsi" w:hAnsiTheme="minorHAnsi" w:cstheme="minorHAnsi"/>
        </w:rPr>
        <w:t>published on the PPP website</w:t>
      </w:r>
      <w:r w:rsidR="00521200">
        <w:rPr>
          <w:rStyle w:val="fontstyle01"/>
          <w:rFonts w:asciiTheme="minorHAnsi" w:hAnsiTheme="minorHAnsi" w:cstheme="minorHAnsi"/>
        </w:rPr>
        <w:t>. T</w:t>
      </w:r>
      <w:r w:rsidR="009309D6">
        <w:rPr>
          <w:rStyle w:val="fontstyle01"/>
          <w:rFonts w:asciiTheme="minorHAnsi" w:hAnsiTheme="minorHAnsi" w:cstheme="minorHAnsi"/>
        </w:rPr>
        <w:t xml:space="preserve">he responses </w:t>
      </w:r>
      <w:r w:rsidR="00521200">
        <w:rPr>
          <w:rStyle w:val="fontstyle01"/>
          <w:rFonts w:asciiTheme="minorHAnsi" w:hAnsiTheme="minorHAnsi" w:cstheme="minorHAnsi"/>
        </w:rPr>
        <w:t xml:space="preserve">and proposed amendments to the draft policy </w:t>
      </w:r>
      <w:r w:rsidR="009309D6">
        <w:rPr>
          <w:rStyle w:val="fontstyle01"/>
          <w:rFonts w:asciiTheme="minorHAnsi" w:hAnsiTheme="minorHAnsi" w:cstheme="minorHAnsi"/>
        </w:rPr>
        <w:t xml:space="preserve">will be </w:t>
      </w:r>
      <w:r w:rsidRPr="009309D6">
        <w:rPr>
          <w:rStyle w:val="fontstyle01"/>
          <w:rFonts w:asciiTheme="minorHAnsi" w:hAnsiTheme="minorHAnsi" w:cstheme="minorHAnsi"/>
        </w:rPr>
        <w:t>pr</w:t>
      </w:r>
      <w:r w:rsidR="00521200">
        <w:rPr>
          <w:rStyle w:val="fontstyle01"/>
          <w:rFonts w:asciiTheme="minorHAnsi" w:hAnsiTheme="minorHAnsi" w:cstheme="minorHAnsi"/>
        </w:rPr>
        <w:t>esented</w:t>
      </w:r>
      <w:r w:rsidRPr="009309D6">
        <w:rPr>
          <w:rStyle w:val="fontstyle01"/>
          <w:rFonts w:asciiTheme="minorHAnsi" w:hAnsiTheme="minorHAnsi" w:cstheme="minorHAnsi"/>
        </w:rPr>
        <w:t xml:space="preserve"> to the Licensing Committee </w:t>
      </w:r>
      <w:r w:rsidR="009309D6">
        <w:rPr>
          <w:rStyle w:val="fontstyle01"/>
          <w:rFonts w:asciiTheme="minorHAnsi" w:hAnsiTheme="minorHAnsi" w:cstheme="minorHAnsi"/>
        </w:rPr>
        <w:t xml:space="preserve">at its next meeting </w:t>
      </w:r>
      <w:r w:rsidRPr="009309D6">
        <w:rPr>
          <w:rStyle w:val="fontstyle01"/>
          <w:rFonts w:asciiTheme="minorHAnsi" w:hAnsiTheme="minorHAnsi" w:cstheme="minorHAnsi"/>
        </w:rPr>
        <w:t>on Monday, 6 November 2023</w:t>
      </w:r>
      <w:r w:rsidR="00521200">
        <w:rPr>
          <w:rStyle w:val="fontstyle01"/>
          <w:rFonts w:asciiTheme="minorHAnsi" w:hAnsiTheme="minorHAnsi" w:cstheme="minorHAnsi"/>
        </w:rPr>
        <w:t xml:space="preserve"> for discussion.</w:t>
      </w:r>
      <w:r w:rsidRPr="009309D6">
        <w:rPr>
          <w:rStyle w:val="fontstyle01"/>
          <w:rFonts w:asciiTheme="minorHAnsi" w:hAnsiTheme="minorHAnsi" w:cstheme="minorHAnsi"/>
        </w:rPr>
        <w:t xml:space="preserve"> </w:t>
      </w:r>
      <w:r w:rsidR="00521200">
        <w:rPr>
          <w:rStyle w:val="fontstyle01"/>
          <w:rFonts w:asciiTheme="minorHAnsi" w:hAnsiTheme="minorHAnsi" w:cstheme="minorHAnsi"/>
        </w:rPr>
        <w:t>A</w:t>
      </w:r>
      <w:r w:rsidRPr="009309D6">
        <w:rPr>
          <w:rStyle w:val="fontstyle01"/>
          <w:rFonts w:asciiTheme="minorHAnsi" w:hAnsiTheme="minorHAnsi" w:cstheme="minorHAnsi"/>
        </w:rPr>
        <w:t xml:space="preserve"> final version of the </w:t>
      </w:r>
      <w:r w:rsidR="00521200">
        <w:rPr>
          <w:rStyle w:val="fontstyle01"/>
          <w:rFonts w:asciiTheme="minorHAnsi" w:hAnsiTheme="minorHAnsi" w:cstheme="minorHAnsi"/>
        </w:rPr>
        <w:t xml:space="preserve">draft </w:t>
      </w:r>
      <w:r w:rsidRPr="009309D6">
        <w:rPr>
          <w:rStyle w:val="fontstyle01"/>
          <w:rFonts w:asciiTheme="minorHAnsi" w:hAnsiTheme="minorHAnsi" w:cstheme="minorHAnsi"/>
        </w:rPr>
        <w:t xml:space="preserve">policy </w:t>
      </w:r>
      <w:r w:rsidR="00521200">
        <w:rPr>
          <w:rStyle w:val="fontstyle01"/>
          <w:rFonts w:asciiTheme="minorHAnsi" w:hAnsiTheme="minorHAnsi" w:cstheme="minorHAnsi"/>
        </w:rPr>
        <w:t xml:space="preserve">will be </w:t>
      </w:r>
      <w:r w:rsidRPr="009309D6">
        <w:rPr>
          <w:rStyle w:val="fontstyle01"/>
          <w:rFonts w:asciiTheme="minorHAnsi" w:hAnsiTheme="minorHAnsi" w:cstheme="minorHAnsi"/>
        </w:rPr>
        <w:t>considered by elected Members at the Full Council meeting on Thursday, 30 November 2023.</w:t>
      </w:r>
    </w:p>
    <w:p w14:paraId="488CD4FC" w14:textId="5EC9982C" w:rsidR="0056415C" w:rsidRPr="009309D6" w:rsidRDefault="0056415C" w:rsidP="0056415C">
      <w:pPr>
        <w:rPr>
          <w:rStyle w:val="fontstyle01"/>
          <w:rFonts w:asciiTheme="minorHAnsi" w:hAnsiTheme="minorHAnsi" w:cstheme="minorHAnsi"/>
          <w:b/>
          <w:bCs/>
          <w:color w:val="92D050"/>
        </w:rPr>
      </w:pPr>
      <w:r w:rsidRPr="009309D6">
        <w:rPr>
          <w:rFonts w:cstheme="minorHAnsi"/>
          <w:color w:val="000000"/>
        </w:rPr>
        <w:br/>
      </w:r>
      <w:r w:rsidRPr="009309D6">
        <w:rPr>
          <w:rStyle w:val="fontstyle01"/>
          <w:rFonts w:asciiTheme="minorHAnsi" w:hAnsiTheme="minorHAnsi" w:cstheme="minorHAnsi"/>
        </w:rPr>
        <w:t xml:space="preserve">Once our SOLP has been </w:t>
      </w:r>
      <w:r w:rsidR="00521200">
        <w:rPr>
          <w:rStyle w:val="fontstyle01"/>
          <w:rFonts w:asciiTheme="minorHAnsi" w:hAnsiTheme="minorHAnsi" w:cstheme="minorHAnsi"/>
        </w:rPr>
        <w:t xml:space="preserve">discussed and </w:t>
      </w:r>
      <w:r w:rsidRPr="009309D6">
        <w:rPr>
          <w:rStyle w:val="fontstyle01"/>
          <w:rFonts w:asciiTheme="minorHAnsi" w:hAnsiTheme="minorHAnsi" w:cstheme="minorHAnsi"/>
        </w:rPr>
        <w:t>approved</w:t>
      </w:r>
      <w:r w:rsidR="00521200">
        <w:rPr>
          <w:rStyle w:val="fontstyle01"/>
          <w:rFonts w:asciiTheme="minorHAnsi" w:hAnsiTheme="minorHAnsi" w:cstheme="minorHAnsi"/>
        </w:rPr>
        <w:t xml:space="preserve"> by Council</w:t>
      </w:r>
      <w:r w:rsidRPr="009309D6">
        <w:rPr>
          <w:rStyle w:val="fontstyle01"/>
          <w:rFonts w:asciiTheme="minorHAnsi" w:hAnsiTheme="minorHAnsi" w:cstheme="minorHAnsi"/>
        </w:rPr>
        <w:t xml:space="preserve"> it will be published on </w:t>
      </w:r>
      <w:r w:rsidR="00521200">
        <w:rPr>
          <w:rStyle w:val="fontstyle01"/>
          <w:rFonts w:asciiTheme="minorHAnsi" w:hAnsiTheme="minorHAnsi" w:cstheme="minorHAnsi"/>
        </w:rPr>
        <w:t xml:space="preserve">the Council’s </w:t>
      </w:r>
      <w:r w:rsidRPr="009309D6">
        <w:rPr>
          <w:rStyle w:val="fontstyle01"/>
          <w:rFonts w:asciiTheme="minorHAnsi" w:hAnsiTheme="minorHAnsi" w:cstheme="minorHAnsi"/>
        </w:rPr>
        <w:t xml:space="preserve"> Strategies, Policies and Plans webpage  </w:t>
      </w:r>
      <w:r w:rsidRPr="009309D6">
        <w:rPr>
          <w:rStyle w:val="fontstyle01"/>
          <w:rFonts w:asciiTheme="minorHAnsi" w:hAnsiTheme="minorHAnsi" w:cstheme="minorHAnsi"/>
          <w:b/>
          <w:bCs/>
          <w:color w:val="92D050"/>
        </w:rPr>
        <w:t>(</w:t>
      </w:r>
      <w:hyperlink r:id="rId12" w:history="1">
        <w:r w:rsidR="009309D6" w:rsidRPr="009309D6">
          <w:rPr>
            <w:rStyle w:val="Hyperlink"/>
            <w:rFonts w:cstheme="minorHAnsi"/>
            <w:b/>
            <w:bCs/>
            <w:color w:val="92D050"/>
          </w:rPr>
          <w:t>https://www.westberks.gov.uk/policies</w:t>
        </w:r>
      </w:hyperlink>
      <w:r w:rsidRPr="009309D6">
        <w:rPr>
          <w:rStyle w:val="fontstyle01"/>
          <w:rFonts w:asciiTheme="minorHAnsi" w:hAnsiTheme="minorHAnsi" w:cstheme="minorHAnsi"/>
          <w:b/>
          <w:bCs/>
          <w:color w:val="92D050"/>
        </w:rPr>
        <w:t>)</w:t>
      </w:r>
      <w:r w:rsidR="009309D6" w:rsidRPr="009309D6">
        <w:rPr>
          <w:rStyle w:val="fontstyle01"/>
          <w:rFonts w:asciiTheme="minorHAnsi" w:hAnsiTheme="minorHAnsi" w:cstheme="minorHAnsi"/>
          <w:color w:val="92D050"/>
        </w:rPr>
        <w:t xml:space="preserve"> </w:t>
      </w:r>
      <w:r w:rsidR="009309D6">
        <w:rPr>
          <w:rStyle w:val="fontstyle01"/>
          <w:rFonts w:asciiTheme="minorHAnsi" w:hAnsiTheme="minorHAnsi" w:cstheme="minorHAnsi"/>
        </w:rPr>
        <w:t xml:space="preserve">as well as on the PPP website: </w:t>
      </w:r>
      <w:hyperlink r:id="rId13" w:history="1">
        <w:r w:rsidR="009309D6" w:rsidRPr="009309D6">
          <w:rPr>
            <w:rStyle w:val="Hyperlink"/>
            <w:rFonts w:cstheme="minorHAnsi"/>
            <w:b/>
            <w:bCs/>
            <w:color w:val="92D050"/>
          </w:rPr>
          <w:t>https://publicprotectionpartnership.org.uk/licensing/alcohol-and-entertainment/</w:t>
        </w:r>
      </w:hyperlink>
    </w:p>
    <w:p w14:paraId="3F17AFE3" w14:textId="77777777" w:rsidR="009309D6" w:rsidRPr="009309D6" w:rsidRDefault="009309D6" w:rsidP="0056415C">
      <w:pPr>
        <w:rPr>
          <w:rFonts w:cstheme="minorHAnsi"/>
        </w:rPr>
      </w:pPr>
    </w:p>
    <w:sectPr w:rsidR="009309D6" w:rsidRPr="009309D6" w:rsidSect="001E61CB">
      <w:pgSz w:w="16838" w:h="11906" w:orient="landscape"/>
      <w:pgMar w:top="1440" w:right="70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9D8"/>
    <w:multiLevelType w:val="hybridMultilevel"/>
    <w:tmpl w:val="65DC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93682"/>
    <w:multiLevelType w:val="hybridMultilevel"/>
    <w:tmpl w:val="A60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90E00"/>
    <w:multiLevelType w:val="hybridMultilevel"/>
    <w:tmpl w:val="ABD808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946EB"/>
    <w:multiLevelType w:val="hybridMultilevel"/>
    <w:tmpl w:val="D0E6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018E2"/>
    <w:multiLevelType w:val="hybridMultilevel"/>
    <w:tmpl w:val="B918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97036"/>
    <w:multiLevelType w:val="hybridMultilevel"/>
    <w:tmpl w:val="0B48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C836A3"/>
    <w:multiLevelType w:val="hybridMultilevel"/>
    <w:tmpl w:val="B4ACC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AC7DC6"/>
    <w:multiLevelType w:val="hybridMultilevel"/>
    <w:tmpl w:val="F1B8ACA4"/>
    <w:lvl w:ilvl="0" w:tplc="B094BA88">
      <w:numFmt w:val="bullet"/>
      <w:lvlText w:val=""/>
      <w:lvlJc w:val="left"/>
      <w:pPr>
        <w:ind w:left="1440" w:hanging="360"/>
      </w:pPr>
      <w:rPr>
        <w:rFonts w:ascii="Symbol" w:eastAsia="Symbol" w:hAnsi="Symbol" w:cs="Symbol" w:hint="default"/>
        <w:w w:val="100"/>
        <w:sz w:val="24"/>
        <w:szCs w:val="24"/>
        <w:lang w:val="en-US" w:eastAsia="en-US" w:bidi="en-US"/>
      </w:rPr>
    </w:lvl>
    <w:lvl w:ilvl="1" w:tplc="9D4C08A4">
      <w:numFmt w:val="bullet"/>
      <w:lvlText w:val="•"/>
      <w:lvlJc w:val="left"/>
      <w:pPr>
        <w:ind w:left="2354" w:hanging="360"/>
      </w:pPr>
      <w:rPr>
        <w:rFonts w:hint="default"/>
        <w:lang w:val="en-US" w:eastAsia="en-US" w:bidi="en-US"/>
      </w:rPr>
    </w:lvl>
    <w:lvl w:ilvl="2" w:tplc="B8D65A9A">
      <w:numFmt w:val="bullet"/>
      <w:lvlText w:val="•"/>
      <w:lvlJc w:val="left"/>
      <w:pPr>
        <w:ind w:left="3269" w:hanging="360"/>
      </w:pPr>
      <w:rPr>
        <w:rFonts w:hint="default"/>
        <w:lang w:val="en-US" w:eastAsia="en-US" w:bidi="en-US"/>
      </w:rPr>
    </w:lvl>
    <w:lvl w:ilvl="3" w:tplc="37D450D0">
      <w:numFmt w:val="bullet"/>
      <w:lvlText w:val="•"/>
      <w:lvlJc w:val="left"/>
      <w:pPr>
        <w:ind w:left="4183" w:hanging="360"/>
      </w:pPr>
      <w:rPr>
        <w:rFonts w:hint="default"/>
        <w:lang w:val="en-US" w:eastAsia="en-US" w:bidi="en-US"/>
      </w:rPr>
    </w:lvl>
    <w:lvl w:ilvl="4" w:tplc="98825F08">
      <w:numFmt w:val="bullet"/>
      <w:lvlText w:val="•"/>
      <w:lvlJc w:val="left"/>
      <w:pPr>
        <w:ind w:left="5098" w:hanging="360"/>
      </w:pPr>
      <w:rPr>
        <w:rFonts w:hint="default"/>
        <w:lang w:val="en-US" w:eastAsia="en-US" w:bidi="en-US"/>
      </w:rPr>
    </w:lvl>
    <w:lvl w:ilvl="5" w:tplc="50FC5FA2">
      <w:numFmt w:val="bullet"/>
      <w:lvlText w:val="•"/>
      <w:lvlJc w:val="left"/>
      <w:pPr>
        <w:ind w:left="6013" w:hanging="360"/>
      </w:pPr>
      <w:rPr>
        <w:rFonts w:hint="default"/>
        <w:lang w:val="en-US" w:eastAsia="en-US" w:bidi="en-US"/>
      </w:rPr>
    </w:lvl>
    <w:lvl w:ilvl="6" w:tplc="47FE62E8">
      <w:numFmt w:val="bullet"/>
      <w:lvlText w:val="•"/>
      <w:lvlJc w:val="left"/>
      <w:pPr>
        <w:ind w:left="6927" w:hanging="360"/>
      </w:pPr>
      <w:rPr>
        <w:rFonts w:hint="default"/>
        <w:lang w:val="en-US" w:eastAsia="en-US" w:bidi="en-US"/>
      </w:rPr>
    </w:lvl>
    <w:lvl w:ilvl="7" w:tplc="D792B790">
      <w:numFmt w:val="bullet"/>
      <w:lvlText w:val="•"/>
      <w:lvlJc w:val="left"/>
      <w:pPr>
        <w:ind w:left="7842" w:hanging="360"/>
      </w:pPr>
      <w:rPr>
        <w:rFonts w:hint="default"/>
        <w:lang w:val="en-US" w:eastAsia="en-US" w:bidi="en-US"/>
      </w:rPr>
    </w:lvl>
    <w:lvl w:ilvl="8" w:tplc="A9464DBA">
      <w:numFmt w:val="bullet"/>
      <w:lvlText w:val="•"/>
      <w:lvlJc w:val="left"/>
      <w:pPr>
        <w:ind w:left="8757" w:hanging="360"/>
      </w:pPr>
      <w:rPr>
        <w:rFonts w:hint="default"/>
        <w:lang w:val="en-US" w:eastAsia="en-US" w:bidi="en-US"/>
      </w:rPr>
    </w:lvl>
  </w:abstractNum>
  <w:abstractNum w:abstractNumId="8" w15:restartNumberingAfterBreak="0">
    <w:nsid w:val="7B2811B5"/>
    <w:multiLevelType w:val="hybridMultilevel"/>
    <w:tmpl w:val="0E8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2025395">
    <w:abstractNumId w:val="0"/>
  </w:num>
  <w:num w:numId="2" w16cid:durableId="616763357">
    <w:abstractNumId w:val="6"/>
  </w:num>
  <w:num w:numId="3" w16cid:durableId="1139571968">
    <w:abstractNumId w:val="5"/>
  </w:num>
  <w:num w:numId="4" w16cid:durableId="2024739303">
    <w:abstractNumId w:val="3"/>
  </w:num>
  <w:num w:numId="5" w16cid:durableId="2070880900">
    <w:abstractNumId w:val="1"/>
  </w:num>
  <w:num w:numId="6" w16cid:durableId="1173496206">
    <w:abstractNumId w:val="7"/>
  </w:num>
  <w:num w:numId="7" w16cid:durableId="854416834">
    <w:abstractNumId w:val="2"/>
  </w:num>
  <w:num w:numId="8" w16cid:durableId="1918242317">
    <w:abstractNumId w:val="4"/>
  </w:num>
  <w:num w:numId="9" w16cid:durableId="7437256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06"/>
    <w:rsid w:val="0001036C"/>
    <w:rsid w:val="00025487"/>
    <w:rsid w:val="0002709D"/>
    <w:rsid w:val="00034AEE"/>
    <w:rsid w:val="00061D46"/>
    <w:rsid w:val="00097793"/>
    <w:rsid w:val="000A2782"/>
    <w:rsid w:val="000A57E7"/>
    <w:rsid w:val="000A7E6D"/>
    <w:rsid w:val="000B0F79"/>
    <w:rsid w:val="000B4F06"/>
    <w:rsid w:val="000B5528"/>
    <w:rsid w:val="000B6645"/>
    <w:rsid w:val="000E01FB"/>
    <w:rsid w:val="00110EA8"/>
    <w:rsid w:val="00135789"/>
    <w:rsid w:val="0014597E"/>
    <w:rsid w:val="001606C4"/>
    <w:rsid w:val="00170B09"/>
    <w:rsid w:val="0017342D"/>
    <w:rsid w:val="001771C3"/>
    <w:rsid w:val="001B0ABE"/>
    <w:rsid w:val="001E098F"/>
    <w:rsid w:val="001E61CB"/>
    <w:rsid w:val="001F6C68"/>
    <w:rsid w:val="00200043"/>
    <w:rsid w:val="00203791"/>
    <w:rsid w:val="00206791"/>
    <w:rsid w:val="00213C1F"/>
    <w:rsid w:val="00223B02"/>
    <w:rsid w:val="002344EC"/>
    <w:rsid w:val="00235A74"/>
    <w:rsid w:val="00244458"/>
    <w:rsid w:val="002506F1"/>
    <w:rsid w:val="00287B22"/>
    <w:rsid w:val="002937BE"/>
    <w:rsid w:val="002A489D"/>
    <w:rsid w:val="002B5D8C"/>
    <w:rsid w:val="002C0F20"/>
    <w:rsid w:val="002C187B"/>
    <w:rsid w:val="002C41A4"/>
    <w:rsid w:val="002D1FE2"/>
    <w:rsid w:val="002E30C4"/>
    <w:rsid w:val="002E598C"/>
    <w:rsid w:val="00306BB9"/>
    <w:rsid w:val="0033468C"/>
    <w:rsid w:val="00396C05"/>
    <w:rsid w:val="003A41EB"/>
    <w:rsid w:val="003E1636"/>
    <w:rsid w:val="00404132"/>
    <w:rsid w:val="00420DF1"/>
    <w:rsid w:val="00424157"/>
    <w:rsid w:val="0043699E"/>
    <w:rsid w:val="00447D6C"/>
    <w:rsid w:val="00470E34"/>
    <w:rsid w:val="004815FF"/>
    <w:rsid w:val="00496883"/>
    <w:rsid w:val="004A0C47"/>
    <w:rsid w:val="004C1E04"/>
    <w:rsid w:val="004C4F87"/>
    <w:rsid w:val="00521200"/>
    <w:rsid w:val="0052141E"/>
    <w:rsid w:val="0056415C"/>
    <w:rsid w:val="00565622"/>
    <w:rsid w:val="00575160"/>
    <w:rsid w:val="00587206"/>
    <w:rsid w:val="00591791"/>
    <w:rsid w:val="005926BE"/>
    <w:rsid w:val="00594CE4"/>
    <w:rsid w:val="005D0661"/>
    <w:rsid w:val="005E6536"/>
    <w:rsid w:val="005E6CCA"/>
    <w:rsid w:val="0061555B"/>
    <w:rsid w:val="0064547C"/>
    <w:rsid w:val="006F7C02"/>
    <w:rsid w:val="00715CBB"/>
    <w:rsid w:val="00757123"/>
    <w:rsid w:val="00761FE4"/>
    <w:rsid w:val="0077197D"/>
    <w:rsid w:val="0077539F"/>
    <w:rsid w:val="00782ADE"/>
    <w:rsid w:val="00794E31"/>
    <w:rsid w:val="007D0DED"/>
    <w:rsid w:val="007E055B"/>
    <w:rsid w:val="007F296B"/>
    <w:rsid w:val="00826E52"/>
    <w:rsid w:val="00861ADA"/>
    <w:rsid w:val="00890D74"/>
    <w:rsid w:val="00897A24"/>
    <w:rsid w:val="008A27A5"/>
    <w:rsid w:val="008A3C7A"/>
    <w:rsid w:val="008D20ED"/>
    <w:rsid w:val="008D6977"/>
    <w:rsid w:val="009309D6"/>
    <w:rsid w:val="00951D95"/>
    <w:rsid w:val="009679F8"/>
    <w:rsid w:val="00970C0A"/>
    <w:rsid w:val="00972CFB"/>
    <w:rsid w:val="00990C99"/>
    <w:rsid w:val="009A0ABC"/>
    <w:rsid w:val="009B3135"/>
    <w:rsid w:val="009B5ECF"/>
    <w:rsid w:val="009C2FB6"/>
    <w:rsid w:val="009E3D8F"/>
    <w:rsid w:val="009E5C03"/>
    <w:rsid w:val="009F1FBA"/>
    <w:rsid w:val="00A1740E"/>
    <w:rsid w:val="00A51563"/>
    <w:rsid w:val="00A74BD3"/>
    <w:rsid w:val="00A7654B"/>
    <w:rsid w:val="00A767D1"/>
    <w:rsid w:val="00AA2828"/>
    <w:rsid w:val="00AA441B"/>
    <w:rsid w:val="00AD6A56"/>
    <w:rsid w:val="00AD7F2A"/>
    <w:rsid w:val="00AE2014"/>
    <w:rsid w:val="00AF7D06"/>
    <w:rsid w:val="00B95097"/>
    <w:rsid w:val="00C3660F"/>
    <w:rsid w:val="00C44A1C"/>
    <w:rsid w:val="00C513C6"/>
    <w:rsid w:val="00C546BA"/>
    <w:rsid w:val="00C55172"/>
    <w:rsid w:val="00C6011E"/>
    <w:rsid w:val="00C63DC7"/>
    <w:rsid w:val="00C90C0D"/>
    <w:rsid w:val="00C91433"/>
    <w:rsid w:val="00C918B0"/>
    <w:rsid w:val="00C9469F"/>
    <w:rsid w:val="00C95E31"/>
    <w:rsid w:val="00CA4F17"/>
    <w:rsid w:val="00CC3CA2"/>
    <w:rsid w:val="00CD0BF3"/>
    <w:rsid w:val="00CD6C92"/>
    <w:rsid w:val="00CE6E55"/>
    <w:rsid w:val="00CF5D8C"/>
    <w:rsid w:val="00D311A4"/>
    <w:rsid w:val="00D34BE6"/>
    <w:rsid w:val="00D7265C"/>
    <w:rsid w:val="00DF3CDB"/>
    <w:rsid w:val="00E11D2E"/>
    <w:rsid w:val="00E323A0"/>
    <w:rsid w:val="00E51877"/>
    <w:rsid w:val="00E721A4"/>
    <w:rsid w:val="00E779A9"/>
    <w:rsid w:val="00E814A1"/>
    <w:rsid w:val="00E8168C"/>
    <w:rsid w:val="00E84208"/>
    <w:rsid w:val="00E9411B"/>
    <w:rsid w:val="00EB5F5A"/>
    <w:rsid w:val="00ED64A3"/>
    <w:rsid w:val="00EE726C"/>
    <w:rsid w:val="00F45A62"/>
    <w:rsid w:val="00F77C76"/>
    <w:rsid w:val="00FA7D57"/>
    <w:rsid w:val="00FB376D"/>
    <w:rsid w:val="00FC44D2"/>
    <w:rsid w:val="00FC5D43"/>
    <w:rsid w:val="00FC6B6D"/>
    <w:rsid w:val="00FE6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DF9A"/>
  <w15:chartTrackingRefBased/>
  <w15:docId w15:val="{1885300C-2AD8-4DD0-81C8-19381CE2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D8C"/>
    <w:rPr>
      <w:sz w:val="24"/>
      <w:szCs w:val="24"/>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character" w:styleId="Hyperlink">
    <w:name w:val="Hyperlink"/>
    <w:basedOn w:val="DefaultParagraphFont"/>
    <w:uiPriority w:val="99"/>
    <w:unhideWhenUsed/>
    <w:rsid w:val="00ED64A3"/>
    <w:rPr>
      <w:strike w:val="0"/>
      <w:dstrike w:val="0"/>
      <w:color w:val="006633"/>
      <w:u w:val="single"/>
      <w:effect w:val="none"/>
    </w:rPr>
  </w:style>
  <w:style w:type="table" w:styleId="TableGrid">
    <w:name w:val="Table Grid"/>
    <w:basedOn w:val="TableNormal"/>
    <w:uiPriority w:val="39"/>
    <w:rsid w:val="00C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5C03"/>
    <w:rPr>
      <w:color w:val="954F72" w:themeColor="followedHyperlink"/>
      <w:u w:val="single"/>
    </w:rPr>
  </w:style>
  <w:style w:type="character" w:styleId="CommentReference">
    <w:name w:val="annotation reference"/>
    <w:basedOn w:val="DefaultParagraphFont"/>
    <w:uiPriority w:val="99"/>
    <w:semiHidden/>
    <w:unhideWhenUsed/>
    <w:rsid w:val="000A57E7"/>
    <w:rPr>
      <w:sz w:val="16"/>
      <w:szCs w:val="16"/>
    </w:rPr>
  </w:style>
  <w:style w:type="paragraph" w:styleId="CommentText">
    <w:name w:val="annotation text"/>
    <w:basedOn w:val="Normal"/>
    <w:link w:val="CommentTextChar"/>
    <w:uiPriority w:val="99"/>
    <w:semiHidden/>
    <w:unhideWhenUsed/>
    <w:rsid w:val="000A57E7"/>
    <w:rPr>
      <w:sz w:val="20"/>
      <w:szCs w:val="20"/>
    </w:rPr>
  </w:style>
  <w:style w:type="character" w:customStyle="1" w:styleId="CommentTextChar">
    <w:name w:val="Comment Text Char"/>
    <w:basedOn w:val="DefaultParagraphFont"/>
    <w:link w:val="CommentText"/>
    <w:uiPriority w:val="99"/>
    <w:semiHidden/>
    <w:rsid w:val="000A57E7"/>
    <w:rPr>
      <w:sz w:val="20"/>
      <w:szCs w:val="20"/>
    </w:rPr>
  </w:style>
  <w:style w:type="paragraph" w:styleId="CommentSubject">
    <w:name w:val="annotation subject"/>
    <w:basedOn w:val="CommentText"/>
    <w:next w:val="CommentText"/>
    <w:link w:val="CommentSubjectChar"/>
    <w:uiPriority w:val="99"/>
    <w:semiHidden/>
    <w:unhideWhenUsed/>
    <w:rsid w:val="000A57E7"/>
    <w:rPr>
      <w:b/>
      <w:bCs/>
    </w:rPr>
  </w:style>
  <w:style w:type="character" w:customStyle="1" w:styleId="CommentSubjectChar">
    <w:name w:val="Comment Subject Char"/>
    <w:basedOn w:val="CommentTextChar"/>
    <w:link w:val="CommentSubject"/>
    <w:uiPriority w:val="99"/>
    <w:semiHidden/>
    <w:rsid w:val="000A57E7"/>
    <w:rPr>
      <w:b/>
      <w:bCs/>
      <w:sz w:val="20"/>
      <w:szCs w:val="20"/>
    </w:rPr>
  </w:style>
  <w:style w:type="paragraph" w:styleId="BalloonText">
    <w:name w:val="Balloon Text"/>
    <w:basedOn w:val="Normal"/>
    <w:link w:val="BalloonTextChar"/>
    <w:uiPriority w:val="99"/>
    <w:semiHidden/>
    <w:unhideWhenUsed/>
    <w:rsid w:val="000A5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7E7"/>
    <w:rPr>
      <w:rFonts w:ascii="Segoe UI" w:hAnsi="Segoe UI" w:cs="Segoe UI"/>
      <w:sz w:val="18"/>
      <w:szCs w:val="18"/>
    </w:rPr>
  </w:style>
  <w:style w:type="table" w:customStyle="1" w:styleId="TableGrid1">
    <w:name w:val="Table Grid1"/>
    <w:basedOn w:val="TableNormal"/>
    <w:next w:val="TableGrid"/>
    <w:uiPriority w:val="39"/>
    <w:rsid w:val="000B0F79"/>
    <w:rPr>
      <w:rFonts w:ascii="Calibri"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link w:val="InstructionsChar"/>
    <w:qFormat/>
    <w:rsid w:val="0077197D"/>
    <w:pPr>
      <w:spacing w:before="240" w:after="240"/>
      <w:jc w:val="both"/>
    </w:pPr>
    <w:rPr>
      <w:color w:val="FF0000"/>
    </w:rPr>
  </w:style>
  <w:style w:type="character" w:customStyle="1" w:styleId="InstructionsChar">
    <w:name w:val="Instructions Char"/>
    <w:basedOn w:val="DefaultParagraphFont"/>
    <w:link w:val="Instructions"/>
    <w:rsid w:val="0077197D"/>
    <w:rPr>
      <w:color w:val="FF0000"/>
      <w:sz w:val="24"/>
      <w:szCs w:val="24"/>
    </w:rPr>
  </w:style>
  <w:style w:type="paragraph" w:styleId="PlainText">
    <w:name w:val="Plain Text"/>
    <w:basedOn w:val="Normal"/>
    <w:link w:val="PlainTextChar"/>
    <w:uiPriority w:val="99"/>
    <w:semiHidden/>
    <w:unhideWhenUsed/>
    <w:rsid w:val="0043699E"/>
    <w:rPr>
      <w:rFonts w:ascii="Calibri" w:hAnsi="Calibri" w:cstheme="minorBidi"/>
      <w:sz w:val="22"/>
      <w:szCs w:val="21"/>
    </w:rPr>
  </w:style>
  <w:style w:type="character" w:customStyle="1" w:styleId="PlainTextChar">
    <w:name w:val="Plain Text Char"/>
    <w:basedOn w:val="DefaultParagraphFont"/>
    <w:link w:val="PlainText"/>
    <w:uiPriority w:val="99"/>
    <w:semiHidden/>
    <w:rsid w:val="0043699E"/>
    <w:rPr>
      <w:rFonts w:ascii="Calibri" w:hAnsi="Calibri" w:cstheme="minorBidi"/>
      <w:szCs w:val="21"/>
    </w:rPr>
  </w:style>
  <w:style w:type="paragraph" w:styleId="NormalWeb">
    <w:name w:val="Normal (Web)"/>
    <w:basedOn w:val="Normal"/>
    <w:uiPriority w:val="99"/>
    <w:unhideWhenUsed/>
    <w:rsid w:val="005D0661"/>
    <w:rPr>
      <w:rFonts w:ascii="Times New Roman" w:hAnsi="Times New Roman"/>
    </w:rPr>
  </w:style>
  <w:style w:type="table" w:customStyle="1" w:styleId="TableGrid2">
    <w:name w:val="Table Grid2"/>
    <w:basedOn w:val="TableNormal"/>
    <w:next w:val="TableGrid"/>
    <w:uiPriority w:val="39"/>
    <w:rsid w:val="00C91433"/>
    <w:rPr>
      <w:rFonts w:ascii="Calibri"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0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00043"/>
    <w:rPr>
      <w:rFonts w:ascii="Courier New" w:hAnsi="Courier New" w:cs="Courier New"/>
      <w:sz w:val="20"/>
      <w:szCs w:val="20"/>
      <w:lang w:eastAsia="en-GB"/>
    </w:rPr>
  </w:style>
  <w:style w:type="character" w:customStyle="1" w:styleId="fontstyle01">
    <w:name w:val="fontstyle01"/>
    <w:basedOn w:val="DefaultParagraphFont"/>
    <w:rsid w:val="00FA7D57"/>
    <w:rPr>
      <w:rFonts w:ascii="ArialMT" w:hAnsi="ArialMT" w:hint="default"/>
      <w:b w:val="0"/>
      <w:bCs w:val="0"/>
      <w:i w:val="0"/>
      <w:iCs w:val="0"/>
      <w:color w:val="000000"/>
      <w:sz w:val="24"/>
      <w:szCs w:val="24"/>
    </w:rPr>
  </w:style>
  <w:style w:type="character" w:customStyle="1" w:styleId="fontstyle21">
    <w:name w:val="fontstyle21"/>
    <w:basedOn w:val="DefaultParagraphFont"/>
    <w:rsid w:val="00FA7D57"/>
    <w:rPr>
      <w:rFonts w:ascii="SymbolMT" w:hAnsi="SymbolMT" w:hint="default"/>
      <w:b w:val="0"/>
      <w:bCs w:val="0"/>
      <w:i w:val="0"/>
      <w:iCs w:val="0"/>
      <w:color w:val="000000"/>
      <w:sz w:val="24"/>
      <w:szCs w:val="24"/>
    </w:rPr>
  </w:style>
  <w:style w:type="paragraph" w:styleId="BodyText">
    <w:name w:val="Body Text"/>
    <w:basedOn w:val="Normal"/>
    <w:link w:val="BodyTextChar"/>
    <w:uiPriority w:val="1"/>
    <w:qFormat/>
    <w:rsid w:val="005E6536"/>
    <w:pPr>
      <w:widowControl w:val="0"/>
      <w:autoSpaceDE w:val="0"/>
      <w:autoSpaceDN w:val="0"/>
    </w:pPr>
    <w:rPr>
      <w:rFonts w:ascii="Arial" w:eastAsia="Arial" w:hAnsi="Arial" w:cs="Arial"/>
      <w:lang w:val="en-US" w:bidi="en-US"/>
    </w:rPr>
  </w:style>
  <w:style w:type="character" w:customStyle="1" w:styleId="BodyTextChar">
    <w:name w:val="Body Text Char"/>
    <w:basedOn w:val="DefaultParagraphFont"/>
    <w:link w:val="BodyText"/>
    <w:uiPriority w:val="1"/>
    <w:rsid w:val="005E6536"/>
    <w:rPr>
      <w:rFonts w:ascii="Arial" w:eastAsia="Arial" w:hAnsi="Arial" w:cs="Arial"/>
      <w:sz w:val="24"/>
      <w:szCs w:val="24"/>
      <w:lang w:val="en-US" w:bidi="en-US"/>
    </w:rPr>
  </w:style>
  <w:style w:type="character" w:styleId="UnresolvedMention">
    <w:name w:val="Unresolved Mention"/>
    <w:basedOn w:val="DefaultParagraphFont"/>
    <w:uiPriority w:val="99"/>
    <w:semiHidden/>
    <w:unhideWhenUsed/>
    <w:rsid w:val="00930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111">
      <w:bodyDiv w:val="1"/>
      <w:marLeft w:val="0"/>
      <w:marRight w:val="0"/>
      <w:marTop w:val="0"/>
      <w:marBottom w:val="0"/>
      <w:divBdr>
        <w:top w:val="none" w:sz="0" w:space="0" w:color="auto"/>
        <w:left w:val="none" w:sz="0" w:space="0" w:color="auto"/>
        <w:bottom w:val="none" w:sz="0" w:space="0" w:color="auto"/>
        <w:right w:val="none" w:sz="0" w:space="0" w:color="auto"/>
      </w:divBdr>
    </w:div>
    <w:div w:id="129371210">
      <w:bodyDiv w:val="1"/>
      <w:marLeft w:val="0"/>
      <w:marRight w:val="0"/>
      <w:marTop w:val="0"/>
      <w:marBottom w:val="0"/>
      <w:divBdr>
        <w:top w:val="none" w:sz="0" w:space="0" w:color="auto"/>
        <w:left w:val="none" w:sz="0" w:space="0" w:color="auto"/>
        <w:bottom w:val="none" w:sz="0" w:space="0" w:color="auto"/>
        <w:right w:val="none" w:sz="0" w:space="0" w:color="auto"/>
      </w:divBdr>
    </w:div>
    <w:div w:id="234702354">
      <w:bodyDiv w:val="1"/>
      <w:marLeft w:val="0"/>
      <w:marRight w:val="0"/>
      <w:marTop w:val="0"/>
      <w:marBottom w:val="0"/>
      <w:divBdr>
        <w:top w:val="none" w:sz="0" w:space="0" w:color="auto"/>
        <w:left w:val="none" w:sz="0" w:space="0" w:color="auto"/>
        <w:bottom w:val="none" w:sz="0" w:space="0" w:color="auto"/>
        <w:right w:val="none" w:sz="0" w:space="0" w:color="auto"/>
      </w:divBdr>
    </w:div>
    <w:div w:id="342708575">
      <w:bodyDiv w:val="1"/>
      <w:marLeft w:val="0"/>
      <w:marRight w:val="0"/>
      <w:marTop w:val="0"/>
      <w:marBottom w:val="0"/>
      <w:divBdr>
        <w:top w:val="none" w:sz="0" w:space="0" w:color="auto"/>
        <w:left w:val="none" w:sz="0" w:space="0" w:color="auto"/>
        <w:bottom w:val="none" w:sz="0" w:space="0" w:color="auto"/>
        <w:right w:val="none" w:sz="0" w:space="0" w:color="auto"/>
      </w:divBdr>
    </w:div>
    <w:div w:id="351801509">
      <w:bodyDiv w:val="1"/>
      <w:marLeft w:val="0"/>
      <w:marRight w:val="0"/>
      <w:marTop w:val="0"/>
      <w:marBottom w:val="0"/>
      <w:divBdr>
        <w:top w:val="none" w:sz="0" w:space="0" w:color="auto"/>
        <w:left w:val="none" w:sz="0" w:space="0" w:color="auto"/>
        <w:bottom w:val="none" w:sz="0" w:space="0" w:color="auto"/>
        <w:right w:val="none" w:sz="0" w:space="0" w:color="auto"/>
      </w:divBdr>
    </w:div>
    <w:div w:id="558440218">
      <w:bodyDiv w:val="1"/>
      <w:marLeft w:val="0"/>
      <w:marRight w:val="0"/>
      <w:marTop w:val="0"/>
      <w:marBottom w:val="0"/>
      <w:divBdr>
        <w:top w:val="none" w:sz="0" w:space="0" w:color="auto"/>
        <w:left w:val="none" w:sz="0" w:space="0" w:color="auto"/>
        <w:bottom w:val="none" w:sz="0" w:space="0" w:color="auto"/>
        <w:right w:val="none" w:sz="0" w:space="0" w:color="auto"/>
      </w:divBdr>
    </w:div>
    <w:div w:id="591473602">
      <w:bodyDiv w:val="1"/>
      <w:marLeft w:val="0"/>
      <w:marRight w:val="0"/>
      <w:marTop w:val="0"/>
      <w:marBottom w:val="0"/>
      <w:divBdr>
        <w:top w:val="none" w:sz="0" w:space="0" w:color="auto"/>
        <w:left w:val="none" w:sz="0" w:space="0" w:color="auto"/>
        <w:bottom w:val="none" w:sz="0" w:space="0" w:color="auto"/>
        <w:right w:val="none" w:sz="0" w:space="0" w:color="auto"/>
      </w:divBdr>
    </w:div>
    <w:div w:id="636648806">
      <w:bodyDiv w:val="1"/>
      <w:marLeft w:val="0"/>
      <w:marRight w:val="0"/>
      <w:marTop w:val="0"/>
      <w:marBottom w:val="0"/>
      <w:divBdr>
        <w:top w:val="none" w:sz="0" w:space="0" w:color="auto"/>
        <w:left w:val="none" w:sz="0" w:space="0" w:color="auto"/>
        <w:bottom w:val="none" w:sz="0" w:space="0" w:color="auto"/>
        <w:right w:val="none" w:sz="0" w:space="0" w:color="auto"/>
      </w:divBdr>
    </w:div>
    <w:div w:id="717779472">
      <w:bodyDiv w:val="1"/>
      <w:marLeft w:val="0"/>
      <w:marRight w:val="0"/>
      <w:marTop w:val="0"/>
      <w:marBottom w:val="0"/>
      <w:divBdr>
        <w:top w:val="none" w:sz="0" w:space="0" w:color="auto"/>
        <w:left w:val="none" w:sz="0" w:space="0" w:color="auto"/>
        <w:bottom w:val="none" w:sz="0" w:space="0" w:color="auto"/>
        <w:right w:val="none" w:sz="0" w:space="0" w:color="auto"/>
      </w:divBdr>
    </w:div>
    <w:div w:id="755369181">
      <w:bodyDiv w:val="1"/>
      <w:marLeft w:val="0"/>
      <w:marRight w:val="0"/>
      <w:marTop w:val="0"/>
      <w:marBottom w:val="0"/>
      <w:divBdr>
        <w:top w:val="none" w:sz="0" w:space="0" w:color="auto"/>
        <w:left w:val="none" w:sz="0" w:space="0" w:color="auto"/>
        <w:bottom w:val="none" w:sz="0" w:space="0" w:color="auto"/>
        <w:right w:val="none" w:sz="0" w:space="0" w:color="auto"/>
      </w:divBdr>
    </w:div>
    <w:div w:id="775052822">
      <w:bodyDiv w:val="1"/>
      <w:marLeft w:val="0"/>
      <w:marRight w:val="0"/>
      <w:marTop w:val="0"/>
      <w:marBottom w:val="0"/>
      <w:divBdr>
        <w:top w:val="none" w:sz="0" w:space="0" w:color="auto"/>
        <w:left w:val="none" w:sz="0" w:space="0" w:color="auto"/>
        <w:bottom w:val="none" w:sz="0" w:space="0" w:color="auto"/>
        <w:right w:val="none" w:sz="0" w:space="0" w:color="auto"/>
      </w:divBdr>
    </w:div>
    <w:div w:id="834305143">
      <w:bodyDiv w:val="1"/>
      <w:marLeft w:val="0"/>
      <w:marRight w:val="0"/>
      <w:marTop w:val="0"/>
      <w:marBottom w:val="0"/>
      <w:divBdr>
        <w:top w:val="none" w:sz="0" w:space="0" w:color="auto"/>
        <w:left w:val="none" w:sz="0" w:space="0" w:color="auto"/>
        <w:bottom w:val="none" w:sz="0" w:space="0" w:color="auto"/>
        <w:right w:val="none" w:sz="0" w:space="0" w:color="auto"/>
      </w:divBdr>
    </w:div>
    <w:div w:id="1123617004">
      <w:bodyDiv w:val="1"/>
      <w:marLeft w:val="0"/>
      <w:marRight w:val="0"/>
      <w:marTop w:val="0"/>
      <w:marBottom w:val="0"/>
      <w:divBdr>
        <w:top w:val="none" w:sz="0" w:space="0" w:color="auto"/>
        <w:left w:val="none" w:sz="0" w:space="0" w:color="auto"/>
        <w:bottom w:val="none" w:sz="0" w:space="0" w:color="auto"/>
        <w:right w:val="none" w:sz="0" w:space="0" w:color="auto"/>
      </w:divBdr>
    </w:div>
    <w:div w:id="1197348293">
      <w:bodyDiv w:val="1"/>
      <w:marLeft w:val="0"/>
      <w:marRight w:val="0"/>
      <w:marTop w:val="0"/>
      <w:marBottom w:val="0"/>
      <w:divBdr>
        <w:top w:val="none" w:sz="0" w:space="0" w:color="auto"/>
        <w:left w:val="none" w:sz="0" w:space="0" w:color="auto"/>
        <w:bottom w:val="none" w:sz="0" w:space="0" w:color="auto"/>
        <w:right w:val="none" w:sz="0" w:space="0" w:color="auto"/>
      </w:divBdr>
    </w:div>
    <w:div w:id="1210187850">
      <w:bodyDiv w:val="1"/>
      <w:marLeft w:val="0"/>
      <w:marRight w:val="0"/>
      <w:marTop w:val="0"/>
      <w:marBottom w:val="0"/>
      <w:divBdr>
        <w:top w:val="none" w:sz="0" w:space="0" w:color="auto"/>
        <w:left w:val="none" w:sz="0" w:space="0" w:color="auto"/>
        <w:bottom w:val="none" w:sz="0" w:space="0" w:color="auto"/>
        <w:right w:val="none" w:sz="0" w:space="0" w:color="auto"/>
      </w:divBdr>
    </w:div>
    <w:div w:id="1315523196">
      <w:bodyDiv w:val="1"/>
      <w:marLeft w:val="0"/>
      <w:marRight w:val="0"/>
      <w:marTop w:val="0"/>
      <w:marBottom w:val="0"/>
      <w:divBdr>
        <w:top w:val="none" w:sz="0" w:space="0" w:color="auto"/>
        <w:left w:val="none" w:sz="0" w:space="0" w:color="auto"/>
        <w:bottom w:val="none" w:sz="0" w:space="0" w:color="auto"/>
        <w:right w:val="none" w:sz="0" w:space="0" w:color="auto"/>
      </w:divBdr>
    </w:div>
    <w:div w:id="1360739824">
      <w:bodyDiv w:val="1"/>
      <w:marLeft w:val="0"/>
      <w:marRight w:val="0"/>
      <w:marTop w:val="0"/>
      <w:marBottom w:val="0"/>
      <w:divBdr>
        <w:top w:val="none" w:sz="0" w:space="0" w:color="auto"/>
        <w:left w:val="none" w:sz="0" w:space="0" w:color="auto"/>
        <w:bottom w:val="none" w:sz="0" w:space="0" w:color="auto"/>
        <w:right w:val="none" w:sz="0" w:space="0" w:color="auto"/>
      </w:divBdr>
    </w:div>
    <w:div w:id="1399787722">
      <w:bodyDiv w:val="1"/>
      <w:marLeft w:val="0"/>
      <w:marRight w:val="0"/>
      <w:marTop w:val="0"/>
      <w:marBottom w:val="0"/>
      <w:divBdr>
        <w:top w:val="none" w:sz="0" w:space="0" w:color="auto"/>
        <w:left w:val="none" w:sz="0" w:space="0" w:color="auto"/>
        <w:bottom w:val="none" w:sz="0" w:space="0" w:color="auto"/>
        <w:right w:val="none" w:sz="0" w:space="0" w:color="auto"/>
      </w:divBdr>
    </w:div>
    <w:div w:id="1437825650">
      <w:bodyDiv w:val="1"/>
      <w:marLeft w:val="0"/>
      <w:marRight w:val="0"/>
      <w:marTop w:val="0"/>
      <w:marBottom w:val="0"/>
      <w:divBdr>
        <w:top w:val="none" w:sz="0" w:space="0" w:color="auto"/>
        <w:left w:val="none" w:sz="0" w:space="0" w:color="auto"/>
        <w:bottom w:val="none" w:sz="0" w:space="0" w:color="auto"/>
        <w:right w:val="none" w:sz="0" w:space="0" w:color="auto"/>
      </w:divBdr>
    </w:div>
    <w:div w:id="1495342983">
      <w:bodyDiv w:val="1"/>
      <w:marLeft w:val="0"/>
      <w:marRight w:val="0"/>
      <w:marTop w:val="0"/>
      <w:marBottom w:val="0"/>
      <w:divBdr>
        <w:top w:val="none" w:sz="0" w:space="0" w:color="auto"/>
        <w:left w:val="none" w:sz="0" w:space="0" w:color="auto"/>
        <w:bottom w:val="none" w:sz="0" w:space="0" w:color="auto"/>
        <w:right w:val="none" w:sz="0" w:space="0" w:color="auto"/>
      </w:divBdr>
    </w:div>
    <w:div w:id="1636908671">
      <w:bodyDiv w:val="1"/>
      <w:marLeft w:val="0"/>
      <w:marRight w:val="0"/>
      <w:marTop w:val="0"/>
      <w:marBottom w:val="0"/>
      <w:divBdr>
        <w:top w:val="none" w:sz="0" w:space="0" w:color="auto"/>
        <w:left w:val="none" w:sz="0" w:space="0" w:color="auto"/>
        <w:bottom w:val="none" w:sz="0" w:space="0" w:color="auto"/>
        <w:right w:val="none" w:sz="0" w:space="0" w:color="auto"/>
      </w:divBdr>
    </w:div>
    <w:div w:id="1655916207">
      <w:bodyDiv w:val="1"/>
      <w:marLeft w:val="0"/>
      <w:marRight w:val="0"/>
      <w:marTop w:val="0"/>
      <w:marBottom w:val="0"/>
      <w:divBdr>
        <w:top w:val="none" w:sz="0" w:space="0" w:color="auto"/>
        <w:left w:val="none" w:sz="0" w:space="0" w:color="auto"/>
        <w:bottom w:val="none" w:sz="0" w:space="0" w:color="auto"/>
        <w:right w:val="none" w:sz="0" w:space="0" w:color="auto"/>
      </w:divBdr>
    </w:div>
    <w:div w:id="1695156828">
      <w:bodyDiv w:val="1"/>
      <w:marLeft w:val="0"/>
      <w:marRight w:val="0"/>
      <w:marTop w:val="0"/>
      <w:marBottom w:val="0"/>
      <w:divBdr>
        <w:top w:val="none" w:sz="0" w:space="0" w:color="auto"/>
        <w:left w:val="none" w:sz="0" w:space="0" w:color="auto"/>
        <w:bottom w:val="none" w:sz="0" w:space="0" w:color="auto"/>
        <w:right w:val="none" w:sz="0" w:space="0" w:color="auto"/>
      </w:divBdr>
    </w:div>
    <w:div w:id="1770734382">
      <w:bodyDiv w:val="1"/>
      <w:marLeft w:val="0"/>
      <w:marRight w:val="0"/>
      <w:marTop w:val="0"/>
      <w:marBottom w:val="0"/>
      <w:divBdr>
        <w:top w:val="none" w:sz="0" w:space="0" w:color="auto"/>
        <w:left w:val="none" w:sz="0" w:space="0" w:color="auto"/>
        <w:bottom w:val="none" w:sz="0" w:space="0" w:color="auto"/>
        <w:right w:val="none" w:sz="0" w:space="0" w:color="auto"/>
      </w:divBdr>
    </w:div>
    <w:div w:id="1860587404">
      <w:bodyDiv w:val="1"/>
      <w:marLeft w:val="0"/>
      <w:marRight w:val="0"/>
      <w:marTop w:val="0"/>
      <w:marBottom w:val="0"/>
      <w:divBdr>
        <w:top w:val="none" w:sz="0" w:space="0" w:color="auto"/>
        <w:left w:val="none" w:sz="0" w:space="0" w:color="auto"/>
        <w:bottom w:val="none" w:sz="0" w:space="0" w:color="auto"/>
        <w:right w:val="none" w:sz="0" w:space="0" w:color="auto"/>
      </w:divBdr>
    </w:div>
    <w:div w:id="1954822723">
      <w:bodyDiv w:val="1"/>
      <w:marLeft w:val="0"/>
      <w:marRight w:val="0"/>
      <w:marTop w:val="0"/>
      <w:marBottom w:val="0"/>
      <w:divBdr>
        <w:top w:val="none" w:sz="0" w:space="0" w:color="auto"/>
        <w:left w:val="none" w:sz="0" w:space="0" w:color="auto"/>
        <w:bottom w:val="none" w:sz="0" w:space="0" w:color="auto"/>
        <w:right w:val="none" w:sz="0" w:space="0" w:color="auto"/>
      </w:divBdr>
    </w:div>
    <w:div w:id="1999645669">
      <w:bodyDiv w:val="1"/>
      <w:marLeft w:val="0"/>
      <w:marRight w:val="0"/>
      <w:marTop w:val="0"/>
      <w:marBottom w:val="0"/>
      <w:divBdr>
        <w:top w:val="none" w:sz="0" w:space="0" w:color="auto"/>
        <w:left w:val="none" w:sz="0" w:space="0" w:color="auto"/>
        <w:bottom w:val="none" w:sz="0" w:space="0" w:color="auto"/>
        <w:right w:val="none" w:sz="0" w:space="0" w:color="auto"/>
      </w:divBdr>
    </w:div>
    <w:div w:id="20744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0/15/contents" TargetMode="External"/><Relationship Id="rId13" Type="http://schemas.openxmlformats.org/officeDocument/2006/relationships/hyperlink" Target="https://publicprotectionpartnership.org.uk/licensing/alcohol-and-entertainment/" TargetMode="External"/><Relationship Id="rId3" Type="http://schemas.openxmlformats.org/officeDocument/2006/relationships/styles" Target="styles.xml"/><Relationship Id="rId7" Type="http://schemas.openxmlformats.org/officeDocument/2006/relationships/hyperlink" Target="https://www.gov.uk/government/publications/explanatory-memorandum-revised-guidance-issued-under-s-182-of-licensing-act-2003" TargetMode="External"/><Relationship Id="rId12" Type="http://schemas.openxmlformats.org/officeDocument/2006/relationships/hyperlink" Target="https://www.westberks.gov.uk/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egislation.gov.uk/ukpga/2003/17/contents" TargetMode="External"/><Relationship Id="rId11" Type="http://schemas.openxmlformats.org/officeDocument/2006/relationships/hyperlink" Target="https://www.legislation.gov.uk/ukpga/1998/42/cont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lation.gov.uk/ukpga/2017/3/contents/enacted" TargetMode="External"/><Relationship Id="rId4" Type="http://schemas.openxmlformats.org/officeDocument/2006/relationships/settings" Target="settings.xml"/><Relationship Id="rId9" Type="http://schemas.openxmlformats.org/officeDocument/2006/relationships/hyperlink" Target="https://www.legislation.gov.uk/uksi/2005/44/contents/ma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A6770-7A7B-4717-905D-D0FDB39A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Fraser</dc:creator>
  <cp:keywords/>
  <dc:description/>
  <cp:lastModifiedBy>Lisa Norgate-Barnes</cp:lastModifiedBy>
  <cp:revision>2</cp:revision>
  <dcterms:created xsi:type="dcterms:W3CDTF">2023-09-27T08:21:00Z</dcterms:created>
  <dcterms:modified xsi:type="dcterms:W3CDTF">2023-09-27T08:21:00Z</dcterms:modified>
</cp:coreProperties>
</file>