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2BB" w:rsidRDefault="00420DCA" w:rsidP="007262BB">
      <w:pPr>
        <w:pStyle w:val="Default"/>
        <w:rPr>
          <w:b/>
          <w:bCs/>
          <w:sz w:val="56"/>
          <w:szCs w:val="56"/>
        </w:rPr>
      </w:pPr>
      <w:bookmarkStart w:id="0" w:name="_GoBack"/>
      <w:r>
        <w:rPr>
          <w:noProof/>
          <w:lang w:eastAsia="en-GB"/>
        </w:rPr>
        <w:drawing>
          <wp:anchor distT="0" distB="0" distL="114300" distR="114300" simplePos="0" relativeHeight="251658240" behindDoc="0" locked="0" layoutInCell="1" allowOverlap="1">
            <wp:simplePos x="0" y="0"/>
            <wp:positionH relativeFrom="column">
              <wp:posOffset>4039737</wp:posOffset>
            </wp:positionH>
            <wp:positionV relativeFrom="paragraph">
              <wp:posOffset>-566382</wp:posOffset>
            </wp:positionV>
            <wp:extent cx="2016825" cy="421259"/>
            <wp:effectExtent l="0" t="0" r="2540" b="0"/>
            <wp:wrapNone/>
            <wp:docPr id="2" name="Picture 2" descr="PP_BWW-logo-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_BWW-logo-Master.jp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016825" cy="421259"/>
                    </a:xfrm>
                    <a:prstGeom prst="rect">
                      <a:avLst/>
                    </a:prstGeom>
                    <a:noFill/>
                    <a:ln>
                      <a:noFill/>
                    </a:ln>
                  </pic:spPr>
                </pic:pic>
              </a:graphicData>
            </a:graphic>
          </wp:anchor>
        </w:drawing>
      </w:r>
      <w:r w:rsidR="00CD3E8D">
        <w:rPr>
          <w:b/>
        </w:rPr>
        <w:t>G</w:t>
      </w:r>
      <w:r w:rsidR="007262BB" w:rsidRPr="007262BB">
        <w:rPr>
          <w:b/>
          <w:bCs/>
        </w:rPr>
        <w:t>uidance on Pubs, Beer Gardens</w:t>
      </w:r>
      <w:r w:rsidR="00EE233B">
        <w:rPr>
          <w:b/>
          <w:bCs/>
        </w:rPr>
        <w:t>, Outside</w:t>
      </w:r>
      <w:r w:rsidR="007262BB" w:rsidRPr="007262BB">
        <w:rPr>
          <w:b/>
          <w:bCs/>
        </w:rPr>
        <w:t xml:space="preserve"> and Open Space to avoid noise nuisance</w:t>
      </w:r>
      <w:r w:rsidR="007262BB">
        <w:rPr>
          <w:b/>
          <w:bCs/>
          <w:sz w:val="56"/>
          <w:szCs w:val="56"/>
        </w:rPr>
        <w:t xml:space="preserve"> </w:t>
      </w:r>
    </w:p>
    <w:p w:rsidR="00420DCA" w:rsidRPr="007262BB" w:rsidRDefault="00420DCA" w:rsidP="007262BB">
      <w:pPr>
        <w:pStyle w:val="Default"/>
        <w:rPr>
          <w:b/>
          <w:bCs/>
        </w:rPr>
      </w:pPr>
    </w:p>
    <w:p w:rsidR="007262BB" w:rsidRPr="00530C90" w:rsidRDefault="007262BB" w:rsidP="007262BB">
      <w:pPr>
        <w:pStyle w:val="Default"/>
        <w:rPr>
          <w:sz w:val="22"/>
          <w:szCs w:val="22"/>
        </w:rPr>
      </w:pPr>
      <w:r w:rsidRPr="00530C90">
        <w:rPr>
          <w:sz w:val="22"/>
          <w:szCs w:val="22"/>
        </w:rPr>
        <w:t xml:space="preserve">The Coronavirus epidemic has had a major impact in many areas of commercial activity but none more so than restrictions on the entertainment </w:t>
      </w:r>
      <w:r w:rsidR="00EE233B">
        <w:rPr>
          <w:sz w:val="22"/>
          <w:szCs w:val="22"/>
        </w:rPr>
        <w:t xml:space="preserve">and hospitality </w:t>
      </w:r>
      <w:r w:rsidRPr="00530C90">
        <w:rPr>
          <w:sz w:val="22"/>
          <w:szCs w:val="22"/>
        </w:rPr>
        <w:t xml:space="preserve">industry including public houses. </w:t>
      </w:r>
      <w:r w:rsidR="00420DCA" w:rsidRPr="00530C90">
        <w:rPr>
          <w:sz w:val="22"/>
          <w:szCs w:val="22"/>
        </w:rPr>
        <w:t xml:space="preserve"> </w:t>
      </w:r>
      <w:r w:rsidRPr="00530C90">
        <w:rPr>
          <w:sz w:val="22"/>
          <w:szCs w:val="22"/>
        </w:rPr>
        <w:t xml:space="preserve">This guidance document is issued by the PPP to assist </w:t>
      </w:r>
      <w:r w:rsidR="00EE233B">
        <w:rPr>
          <w:sz w:val="22"/>
          <w:szCs w:val="22"/>
        </w:rPr>
        <w:t xml:space="preserve">organisers </w:t>
      </w:r>
      <w:r w:rsidRPr="00530C90">
        <w:rPr>
          <w:sz w:val="22"/>
          <w:szCs w:val="22"/>
        </w:rPr>
        <w:t>in thinking about noise issues as they prepare to re-open</w:t>
      </w:r>
      <w:r w:rsidR="00EE233B">
        <w:rPr>
          <w:sz w:val="22"/>
          <w:szCs w:val="22"/>
        </w:rPr>
        <w:t xml:space="preserve"> or plan for community and similar events</w:t>
      </w:r>
      <w:r w:rsidRPr="00530C90">
        <w:rPr>
          <w:sz w:val="22"/>
          <w:szCs w:val="22"/>
        </w:rPr>
        <w:t xml:space="preserve">. We are keen to support </w:t>
      </w:r>
      <w:r w:rsidR="00EE233B">
        <w:rPr>
          <w:sz w:val="22"/>
          <w:szCs w:val="22"/>
        </w:rPr>
        <w:t xml:space="preserve">these events </w:t>
      </w:r>
      <w:r w:rsidRPr="00530C90">
        <w:rPr>
          <w:sz w:val="22"/>
          <w:szCs w:val="22"/>
        </w:rPr>
        <w:t xml:space="preserve">and to give advice on methods to minimise noise impact on residents. However we also have a duty to protect neighbouring residents from unacceptable noise. Operators of licensed premises </w:t>
      </w:r>
      <w:r w:rsidR="00EE233B">
        <w:rPr>
          <w:sz w:val="22"/>
          <w:szCs w:val="22"/>
        </w:rPr>
        <w:t xml:space="preserve">or organisers </w:t>
      </w:r>
      <w:r w:rsidRPr="00530C90">
        <w:rPr>
          <w:sz w:val="22"/>
          <w:szCs w:val="22"/>
        </w:rPr>
        <w:t xml:space="preserve">need to be mindful that they have residents living near to them who are now spending more time at home or may need to get up early for work or who have been shielded. This is particularly important in the use of outside premises and where doors and windows that are normally closed are being left open to help ventilation. </w:t>
      </w:r>
    </w:p>
    <w:bookmarkEnd w:id="0"/>
    <w:p w:rsidR="007262BB" w:rsidRPr="00530C90" w:rsidRDefault="007262BB" w:rsidP="007262BB">
      <w:pPr>
        <w:pStyle w:val="Default"/>
        <w:rPr>
          <w:sz w:val="22"/>
          <w:szCs w:val="22"/>
        </w:rPr>
      </w:pPr>
    </w:p>
    <w:p w:rsidR="007262BB" w:rsidRPr="00530C90" w:rsidRDefault="00EE233B" w:rsidP="007262BB">
      <w:pPr>
        <w:pStyle w:val="Default"/>
        <w:rPr>
          <w:sz w:val="22"/>
          <w:szCs w:val="22"/>
        </w:rPr>
      </w:pPr>
      <w:r>
        <w:rPr>
          <w:sz w:val="22"/>
          <w:szCs w:val="22"/>
        </w:rPr>
        <w:t xml:space="preserve">You </w:t>
      </w:r>
      <w:r w:rsidR="007262BB" w:rsidRPr="00530C90">
        <w:rPr>
          <w:sz w:val="22"/>
          <w:szCs w:val="22"/>
        </w:rPr>
        <w:t xml:space="preserve">should consider issues such as: </w:t>
      </w:r>
    </w:p>
    <w:p w:rsidR="007262BB" w:rsidRPr="00530C90" w:rsidRDefault="007262BB" w:rsidP="00D023C5">
      <w:pPr>
        <w:pStyle w:val="Default"/>
        <w:numPr>
          <w:ilvl w:val="0"/>
          <w:numId w:val="1"/>
        </w:numPr>
        <w:spacing w:after="56"/>
        <w:ind w:left="450"/>
        <w:rPr>
          <w:sz w:val="22"/>
          <w:szCs w:val="22"/>
        </w:rPr>
      </w:pPr>
      <w:r w:rsidRPr="00530C90">
        <w:rPr>
          <w:sz w:val="22"/>
          <w:szCs w:val="22"/>
        </w:rPr>
        <w:t>Times of operation of outdoor space. The time of operation of beer gardens, pavements</w:t>
      </w:r>
      <w:r w:rsidR="00AF3135">
        <w:rPr>
          <w:sz w:val="22"/>
          <w:szCs w:val="22"/>
        </w:rPr>
        <w:t>,</w:t>
      </w:r>
      <w:r w:rsidRPr="00530C90">
        <w:rPr>
          <w:sz w:val="22"/>
          <w:szCs w:val="22"/>
        </w:rPr>
        <w:t xml:space="preserve"> </w:t>
      </w:r>
      <w:r w:rsidR="00AF3135">
        <w:rPr>
          <w:sz w:val="22"/>
          <w:szCs w:val="22"/>
        </w:rPr>
        <w:t xml:space="preserve">car parks </w:t>
      </w:r>
      <w:r w:rsidRPr="00530C90">
        <w:rPr>
          <w:sz w:val="22"/>
          <w:szCs w:val="22"/>
        </w:rPr>
        <w:t>and outside areas such as children’s play areas should be conside</w:t>
      </w:r>
      <w:r w:rsidR="00CD3E8D" w:rsidRPr="00530C90">
        <w:rPr>
          <w:sz w:val="22"/>
          <w:szCs w:val="22"/>
        </w:rPr>
        <w:t>rate of potential for nuisance</w:t>
      </w:r>
      <w:r w:rsidR="00AF3135">
        <w:rPr>
          <w:sz w:val="22"/>
          <w:szCs w:val="22"/>
        </w:rPr>
        <w:t xml:space="preserve"> </w:t>
      </w:r>
    </w:p>
    <w:p w:rsidR="007262BB" w:rsidRPr="00530C90" w:rsidRDefault="007262BB" w:rsidP="00D023C5">
      <w:pPr>
        <w:pStyle w:val="Default"/>
        <w:numPr>
          <w:ilvl w:val="0"/>
          <w:numId w:val="1"/>
        </w:numPr>
        <w:spacing w:after="56"/>
        <w:ind w:left="450"/>
        <w:rPr>
          <w:sz w:val="22"/>
          <w:szCs w:val="22"/>
        </w:rPr>
      </w:pPr>
      <w:r w:rsidRPr="00530C90">
        <w:rPr>
          <w:sz w:val="22"/>
          <w:szCs w:val="22"/>
        </w:rPr>
        <w:t>Each premises is different and may suit different operation but in a residential area 23:00 hours is likely to be the latest outside space should be used by large num</w:t>
      </w:r>
      <w:r w:rsidR="00CD3E8D" w:rsidRPr="00530C90">
        <w:rPr>
          <w:sz w:val="22"/>
          <w:szCs w:val="22"/>
        </w:rPr>
        <w:t>bers without causing complaints</w:t>
      </w:r>
    </w:p>
    <w:p w:rsidR="007262BB" w:rsidRPr="00530C90" w:rsidRDefault="007262BB" w:rsidP="00D023C5">
      <w:pPr>
        <w:pStyle w:val="Default"/>
        <w:numPr>
          <w:ilvl w:val="0"/>
          <w:numId w:val="1"/>
        </w:numPr>
        <w:spacing w:after="56"/>
        <w:ind w:left="450"/>
        <w:rPr>
          <w:sz w:val="22"/>
          <w:szCs w:val="22"/>
        </w:rPr>
      </w:pPr>
      <w:r w:rsidRPr="00530C90">
        <w:rPr>
          <w:sz w:val="22"/>
          <w:szCs w:val="22"/>
        </w:rPr>
        <w:t>Staff training and procedures</w:t>
      </w:r>
      <w:r w:rsidR="00CD3E8D" w:rsidRPr="00530C90">
        <w:rPr>
          <w:sz w:val="22"/>
          <w:szCs w:val="22"/>
        </w:rPr>
        <w:t xml:space="preserve"> for dealing with noise issues</w:t>
      </w:r>
    </w:p>
    <w:p w:rsidR="00AF3135" w:rsidRPr="00530C90" w:rsidRDefault="007262BB" w:rsidP="00AF3135">
      <w:pPr>
        <w:pStyle w:val="Default"/>
        <w:numPr>
          <w:ilvl w:val="0"/>
          <w:numId w:val="1"/>
        </w:numPr>
        <w:ind w:left="450"/>
        <w:rPr>
          <w:color w:val="auto"/>
          <w:sz w:val="22"/>
          <w:szCs w:val="22"/>
        </w:rPr>
      </w:pPr>
      <w:r w:rsidRPr="00530C90">
        <w:rPr>
          <w:sz w:val="22"/>
          <w:szCs w:val="22"/>
        </w:rPr>
        <w:t xml:space="preserve">Supervision and management of customers outside to prevent excessive noise </w:t>
      </w:r>
      <w:r w:rsidR="00AF3135">
        <w:rPr>
          <w:sz w:val="22"/>
          <w:szCs w:val="22"/>
        </w:rPr>
        <w:t xml:space="preserve">including when they are </w:t>
      </w:r>
      <w:r w:rsidR="00AF3135" w:rsidRPr="00530C90">
        <w:rPr>
          <w:color w:val="auto"/>
          <w:sz w:val="22"/>
          <w:szCs w:val="22"/>
        </w:rPr>
        <w:t xml:space="preserve">leaving </w:t>
      </w:r>
    </w:p>
    <w:p w:rsidR="007262BB" w:rsidRPr="00530C90" w:rsidRDefault="007262BB" w:rsidP="00D023C5">
      <w:pPr>
        <w:pStyle w:val="Default"/>
        <w:numPr>
          <w:ilvl w:val="0"/>
          <w:numId w:val="1"/>
        </w:numPr>
        <w:spacing w:after="56"/>
        <w:ind w:left="450"/>
        <w:rPr>
          <w:sz w:val="22"/>
          <w:szCs w:val="22"/>
        </w:rPr>
      </w:pPr>
      <w:r w:rsidRPr="00530C90">
        <w:rPr>
          <w:sz w:val="22"/>
          <w:szCs w:val="22"/>
        </w:rPr>
        <w:t xml:space="preserve">Use of signage in outdoor spaces </w:t>
      </w:r>
    </w:p>
    <w:p w:rsidR="007262BB" w:rsidRPr="00530C90" w:rsidRDefault="007262BB" w:rsidP="00D023C5">
      <w:pPr>
        <w:pStyle w:val="Default"/>
        <w:numPr>
          <w:ilvl w:val="0"/>
          <w:numId w:val="1"/>
        </w:numPr>
        <w:spacing w:after="56"/>
        <w:ind w:left="450"/>
        <w:rPr>
          <w:sz w:val="22"/>
          <w:szCs w:val="22"/>
        </w:rPr>
      </w:pPr>
      <w:r w:rsidRPr="00530C90">
        <w:rPr>
          <w:sz w:val="22"/>
          <w:szCs w:val="22"/>
        </w:rPr>
        <w:t xml:space="preserve">Communication with </w:t>
      </w:r>
      <w:r w:rsidR="00CD3E8D" w:rsidRPr="00530C90">
        <w:rPr>
          <w:sz w:val="22"/>
          <w:szCs w:val="22"/>
        </w:rPr>
        <w:t xml:space="preserve">local </w:t>
      </w:r>
      <w:r w:rsidRPr="00530C90">
        <w:rPr>
          <w:sz w:val="22"/>
          <w:szCs w:val="22"/>
        </w:rPr>
        <w:t xml:space="preserve">residents </w:t>
      </w:r>
      <w:r w:rsidR="00AF3135">
        <w:rPr>
          <w:sz w:val="22"/>
          <w:szCs w:val="22"/>
        </w:rPr>
        <w:t xml:space="preserve">such as </w:t>
      </w:r>
      <w:r w:rsidRPr="00530C90">
        <w:rPr>
          <w:sz w:val="22"/>
          <w:szCs w:val="22"/>
        </w:rPr>
        <w:t xml:space="preserve">leaflet dropping and provision of an emergency contact number should issues arise </w:t>
      </w:r>
    </w:p>
    <w:p w:rsidR="007262BB" w:rsidRPr="00530C90" w:rsidRDefault="007262BB" w:rsidP="00D023C5">
      <w:pPr>
        <w:pStyle w:val="Default"/>
        <w:numPr>
          <w:ilvl w:val="0"/>
          <w:numId w:val="1"/>
        </w:numPr>
        <w:ind w:left="450"/>
        <w:rPr>
          <w:color w:val="auto"/>
          <w:sz w:val="22"/>
          <w:szCs w:val="22"/>
        </w:rPr>
      </w:pPr>
      <w:r w:rsidRPr="00530C90">
        <w:rPr>
          <w:sz w:val="22"/>
          <w:szCs w:val="22"/>
        </w:rPr>
        <w:t>Restrictions on outd</w:t>
      </w:r>
      <w:r w:rsidR="00CD3E8D" w:rsidRPr="00530C90">
        <w:rPr>
          <w:sz w:val="22"/>
          <w:szCs w:val="22"/>
        </w:rPr>
        <w:t>oor entertainment such as music</w:t>
      </w:r>
      <w:r w:rsidRPr="00530C90">
        <w:rPr>
          <w:sz w:val="22"/>
          <w:szCs w:val="22"/>
        </w:rPr>
        <w:t xml:space="preserve"> </w:t>
      </w:r>
    </w:p>
    <w:p w:rsidR="007262BB" w:rsidRPr="00530C90" w:rsidRDefault="00AF3135" w:rsidP="00D023C5">
      <w:pPr>
        <w:pStyle w:val="Default"/>
        <w:numPr>
          <w:ilvl w:val="0"/>
          <w:numId w:val="1"/>
        </w:numPr>
        <w:spacing w:after="56"/>
        <w:ind w:left="450"/>
        <w:rPr>
          <w:color w:val="auto"/>
          <w:sz w:val="22"/>
          <w:szCs w:val="22"/>
        </w:rPr>
      </w:pPr>
      <w:r>
        <w:rPr>
          <w:color w:val="auto"/>
          <w:sz w:val="22"/>
          <w:szCs w:val="22"/>
        </w:rPr>
        <w:t>Ensuring l</w:t>
      </w:r>
      <w:r w:rsidR="007262BB" w:rsidRPr="00530C90">
        <w:rPr>
          <w:color w:val="auto"/>
          <w:sz w:val="22"/>
          <w:szCs w:val="22"/>
        </w:rPr>
        <w:t>ight</w:t>
      </w:r>
      <w:r>
        <w:rPr>
          <w:color w:val="auto"/>
          <w:sz w:val="22"/>
          <w:szCs w:val="22"/>
        </w:rPr>
        <w:t>ing does</w:t>
      </w:r>
      <w:r w:rsidR="007262BB" w:rsidRPr="00530C90">
        <w:rPr>
          <w:color w:val="auto"/>
          <w:sz w:val="22"/>
          <w:szCs w:val="22"/>
        </w:rPr>
        <w:t xml:space="preserve"> not caus</w:t>
      </w:r>
      <w:r>
        <w:rPr>
          <w:color w:val="auto"/>
          <w:sz w:val="22"/>
          <w:szCs w:val="22"/>
        </w:rPr>
        <w:t>e</w:t>
      </w:r>
      <w:r w:rsidR="007262BB" w:rsidRPr="00530C90">
        <w:rPr>
          <w:color w:val="auto"/>
          <w:sz w:val="22"/>
          <w:szCs w:val="22"/>
        </w:rPr>
        <w:t xml:space="preserve"> issues of excessive illumination or glare to residents</w:t>
      </w:r>
      <w:r>
        <w:rPr>
          <w:color w:val="auto"/>
          <w:sz w:val="22"/>
          <w:szCs w:val="22"/>
        </w:rPr>
        <w:t xml:space="preserve"> and </w:t>
      </w:r>
      <w:r w:rsidR="007262BB" w:rsidRPr="00530C90">
        <w:rPr>
          <w:color w:val="auto"/>
          <w:sz w:val="22"/>
          <w:szCs w:val="22"/>
        </w:rPr>
        <w:t xml:space="preserve">should be mains operated as generators could cause noise issues. </w:t>
      </w:r>
    </w:p>
    <w:p w:rsidR="00CD3E8D" w:rsidRPr="00530C90" w:rsidRDefault="00AF3135" w:rsidP="00D023C5">
      <w:pPr>
        <w:pStyle w:val="Default"/>
        <w:numPr>
          <w:ilvl w:val="0"/>
          <w:numId w:val="1"/>
        </w:numPr>
        <w:ind w:left="450"/>
        <w:rPr>
          <w:color w:val="auto"/>
          <w:sz w:val="22"/>
          <w:szCs w:val="22"/>
        </w:rPr>
      </w:pPr>
      <w:r>
        <w:rPr>
          <w:color w:val="auto"/>
          <w:sz w:val="22"/>
          <w:szCs w:val="22"/>
        </w:rPr>
        <w:t>R</w:t>
      </w:r>
      <w:r w:rsidR="00CD3E8D" w:rsidRPr="00530C90">
        <w:rPr>
          <w:color w:val="auto"/>
          <w:sz w:val="22"/>
          <w:szCs w:val="22"/>
        </w:rPr>
        <w:t xml:space="preserve">estrict the timing </w:t>
      </w:r>
      <w:r>
        <w:rPr>
          <w:color w:val="auto"/>
          <w:sz w:val="22"/>
          <w:szCs w:val="22"/>
        </w:rPr>
        <w:t xml:space="preserve">for dealing with refuse, for </w:t>
      </w:r>
      <w:r w:rsidR="00CD3E8D" w:rsidRPr="00530C90">
        <w:rPr>
          <w:color w:val="auto"/>
          <w:sz w:val="22"/>
          <w:szCs w:val="22"/>
        </w:rPr>
        <w:t xml:space="preserve">example </w:t>
      </w:r>
      <w:r>
        <w:rPr>
          <w:color w:val="auto"/>
          <w:sz w:val="22"/>
          <w:szCs w:val="22"/>
        </w:rPr>
        <w:t xml:space="preserve">when </w:t>
      </w:r>
      <w:r w:rsidR="00CD3E8D" w:rsidRPr="00530C90">
        <w:rPr>
          <w:color w:val="auto"/>
          <w:sz w:val="22"/>
          <w:szCs w:val="22"/>
        </w:rPr>
        <w:t xml:space="preserve">bottles emptied </w:t>
      </w:r>
      <w:r w:rsidR="004850EE" w:rsidRPr="00530C90">
        <w:rPr>
          <w:color w:val="auto"/>
          <w:sz w:val="22"/>
          <w:szCs w:val="22"/>
        </w:rPr>
        <w:t>and timings of collections</w:t>
      </w:r>
    </w:p>
    <w:p w:rsidR="00CD3E8D" w:rsidRPr="00530C90" w:rsidRDefault="00CD3E8D" w:rsidP="00D023C5">
      <w:pPr>
        <w:pStyle w:val="Default"/>
        <w:numPr>
          <w:ilvl w:val="0"/>
          <w:numId w:val="1"/>
        </w:numPr>
        <w:ind w:left="450"/>
        <w:rPr>
          <w:color w:val="auto"/>
          <w:sz w:val="22"/>
          <w:szCs w:val="22"/>
        </w:rPr>
      </w:pPr>
      <w:r w:rsidRPr="00530C90">
        <w:rPr>
          <w:color w:val="auto"/>
          <w:sz w:val="22"/>
          <w:szCs w:val="22"/>
        </w:rPr>
        <w:t>Plant and equipment</w:t>
      </w:r>
      <w:r w:rsidR="00AF3135">
        <w:rPr>
          <w:color w:val="auto"/>
          <w:sz w:val="22"/>
          <w:szCs w:val="22"/>
        </w:rPr>
        <w:t xml:space="preserve"> location and noise levels</w:t>
      </w:r>
    </w:p>
    <w:p w:rsidR="00CD3E8D" w:rsidRPr="00530C90" w:rsidRDefault="00AF3135" w:rsidP="00D023C5">
      <w:pPr>
        <w:pStyle w:val="Default"/>
        <w:numPr>
          <w:ilvl w:val="0"/>
          <w:numId w:val="1"/>
        </w:numPr>
        <w:ind w:left="450"/>
        <w:rPr>
          <w:color w:val="auto"/>
          <w:sz w:val="22"/>
          <w:szCs w:val="22"/>
        </w:rPr>
      </w:pPr>
      <w:r>
        <w:rPr>
          <w:color w:val="auto"/>
          <w:sz w:val="22"/>
          <w:szCs w:val="22"/>
        </w:rPr>
        <w:t>Consider the timings of d</w:t>
      </w:r>
      <w:r w:rsidR="00CD3E8D" w:rsidRPr="00530C90">
        <w:rPr>
          <w:color w:val="auto"/>
          <w:sz w:val="22"/>
          <w:szCs w:val="22"/>
        </w:rPr>
        <w:t xml:space="preserve">eliveries </w:t>
      </w:r>
    </w:p>
    <w:p w:rsidR="00CD3E8D" w:rsidRDefault="00AF3135" w:rsidP="00D023C5">
      <w:pPr>
        <w:pStyle w:val="Default"/>
        <w:numPr>
          <w:ilvl w:val="0"/>
          <w:numId w:val="1"/>
        </w:numPr>
        <w:ind w:left="450"/>
        <w:rPr>
          <w:color w:val="auto"/>
          <w:sz w:val="22"/>
          <w:szCs w:val="22"/>
        </w:rPr>
      </w:pPr>
      <w:r>
        <w:rPr>
          <w:color w:val="auto"/>
          <w:sz w:val="22"/>
          <w:szCs w:val="22"/>
        </w:rPr>
        <w:t xml:space="preserve">Be flexible as </w:t>
      </w:r>
      <w:r w:rsidR="00CD3E8D" w:rsidRPr="00530C90">
        <w:rPr>
          <w:color w:val="auto"/>
          <w:sz w:val="22"/>
          <w:szCs w:val="22"/>
        </w:rPr>
        <w:t>issues may arise that could cause disturbances so it is imperative that NMP’s are flexible enough to incorporate</w:t>
      </w:r>
      <w:r w:rsidR="004850EE" w:rsidRPr="00530C90">
        <w:rPr>
          <w:color w:val="auto"/>
          <w:sz w:val="22"/>
          <w:szCs w:val="22"/>
        </w:rPr>
        <w:t xml:space="preserve"> change.</w:t>
      </w:r>
      <w:r w:rsidR="00CD3E8D" w:rsidRPr="00530C90">
        <w:rPr>
          <w:color w:val="auto"/>
          <w:sz w:val="22"/>
          <w:szCs w:val="22"/>
        </w:rPr>
        <w:t xml:space="preserve"> </w:t>
      </w:r>
    </w:p>
    <w:p w:rsidR="00C0584C" w:rsidRDefault="00C0584C" w:rsidP="007262BB">
      <w:pPr>
        <w:pStyle w:val="Default"/>
        <w:rPr>
          <w:color w:val="auto"/>
          <w:sz w:val="22"/>
          <w:szCs w:val="22"/>
        </w:rPr>
      </w:pPr>
    </w:p>
    <w:p w:rsidR="007262BB" w:rsidRPr="00530C90" w:rsidRDefault="007262BB" w:rsidP="007262BB">
      <w:pPr>
        <w:pStyle w:val="Default"/>
        <w:rPr>
          <w:color w:val="auto"/>
          <w:sz w:val="22"/>
          <w:szCs w:val="22"/>
        </w:rPr>
      </w:pPr>
      <w:r w:rsidRPr="00530C90">
        <w:rPr>
          <w:color w:val="auto"/>
          <w:sz w:val="22"/>
          <w:szCs w:val="22"/>
        </w:rPr>
        <w:t>If complaints are received to the Environmental</w:t>
      </w:r>
      <w:r w:rsidR="00CD3E8D" w:rsidRPr="00530C90">
        <w:rPr>
          <w:color w:val="auto"/>
          <w:sz w:val="22"/>
          <w:szCs w:val="22"/>
        </w:rPr>
        <w:t xml:space="preserve"> Quality</w:t>
      </w:r>
      <w:r w:rsidRPr="00530C90">
        <w:rPr>
          <w:color w:val="auto"/>
          <w:sz w:val="22"/>
          <w:szCs w:val="22"/>
        </w:rPr>
        <w:t xml:space="preserve"> Team about noise from a licensed premises, they will contact you to </w:t>
      </w:r>
      <w:r w:rsidR="00CD3E8D" w:rsidRPr="00530C90">
        <w:rPr>
          <w:color w:val="auto"/>
          <w:sz w:val="22"/>
          <w:szCs w:val="22"/>
        </w:rPr>
        <w:t>advise you of</w:t>
      </w:r>
      <w:r w:rsidRPr="00530C90">
        <w:rPr>
          <w:color w:val="auto"/>
          <w:sz w:val="22"/>
          <w:szCs w:val="22"/>
        </w:rPr>
        <w:t xml:space="preserve"> the complaint and what could be done to reduce noise levels. While every effort will be made to find an agreeable solution this may include needing to reduce the use of the outside space. Ultimately if it is necessary the</w:t>
      </w:r>
      <w:r w:rsidR="00CD3E8D" w:rsidRPr="00530C90">
        <w:rPr>
          <w:color w:val="auto"/>
          <w:sz w:val="22"/>
          <w:szCs w:val="22"/>
        </w:rPr>
        <w:t>y</w:t>
      </w:r>
      <w:r w:rsidRPr="00530C90">
        <w:rPr>
          <w:color w:val="auto"/>
          <w:sz w:val="22"/>
          <w:szCs w:val="22"/>
        </w:rPr>
        <w:t xml:space="preserve"> will take formal action in the form of a license review or service of an abatement notice. </w:t>
      </w:r>
    </w:p>
    <w:p w:rsidR="004850EE" w:rsidRPr="00530C90" w:rsidRDefault="004850EE" w:rsidP="007262BB">
      <w:pPr>
        <w:pStyle w:val="Default"/>
        <w:rPr>
          <w:color w:val="auto"/>
          <w:sz w:val="22"/>
          <w:szCs w:val="22"/>
        </w:rPr>
      </w:pPr>
    </w:p>
    <w:p w:rsidR="00C0584C" w:rsidRPr="00530C90" w:rsidRDefault="007262BB" w:rsidP="00C0584C">
      <w:pPr>
        <w:pStyle w:val="Default"/>
        <w:rPr>
          <w:color w:val="auto"/>
          <w:sz w:val="22"/>
          <w:szCs w:val="22"/>
        </w:rPr>
      </w:pPr>
      <w:r w:rsidRPr="00530C90">
        <w:rPr>
          <w:color w:val="auto"/>
          <w:sz w:val="22"/>
          <w:szCs w:val="22"/>
        </w:rPr>
        <w:t xml:space="preserve">If you own or manage a licensed premises and are considering using the open space differently from how you operated prior to the lockdown please use the guidance above to consider the potential impact on neighbours. </w:t>
      </w:r>
      <w:r w:rsidR="00EE233B">
        <w:rPr>
          <w:color w:val="auto"/>
          <w:sz w:val="22"/>
          <w:szCs w:val="22"/>
        </w:rPr>
        <w:t>Please check if your Premises License requires variation.</w:t>
      </w:r>
    </w:p>
    <w:p w:rsidR="00530C90" w:rsidRDefault="00530C90" w:rsidP="007262BB">
      <w:pPr>
        <w:pStyle w:val="Default"/>
        <w:rPr>
          <w:color w:val="auto"/>
          <w:sz w:val="22"/>
          <w:szCs w:val="22"/>
        </w:rPr>
      </w:pPr>
    </w:p>
    <w:p w:rsidR="00D023C5" w:rsidRPr="00530C90" w:rsidRDefault="00D023C5" w:rsidP="007262BB">
      <w:pPr>
        <w:pStyle w:val="Default"/>
        <w:rPr>
          <w:color w:val="auto"/>
          <w:sz w:val="22"/>
          <w:szCs w:val="22"/>
        </w:rPr>
      </w:pPr>
      <w:r w:rsidRPr="00530C90">
        <w:rPr>
          <w:color w:val="auto"/>
          <w:sz w:val="22"/>
          <w:szCs w:val="22"/>
        </w:rPr>
        <w:t xml:space="preserve">Help </w:t>
      </w:r>
      <w:r w:rsidR="00957090" w:rsidRPr="00530C90">
        <w:rPr>
          <w:color w:val="auto"/>
          <w:sz w:val="22"/>
          <w:szCs w:val="22"/>
        </w:rPr>
        <w:t xml:space="preserve">and support </w:t>
      </w:r>
      <w:r w:rsidR="00D5258A">
        <w:rPr>
          <w:color w:val="auto"/>
          <w:sz w:val="22"/>
          <w:szCs w:val="22"/>
        </w:rPr>
        <w:t xml:space="preserve">concerning holding events can </w:t>
      </w:r>
      <w:r w:rsidR="00957090" w:rsidRPr="00530C90">
        <w:rPr>
          <w:color w:val="auto"/>
          <w:sz w:val="22"/>
          <w:szCs w:val="22"/>
        </w:rPr>
        <w:t xml:space="preserve">be found on the website </w:t>
      </w:r>
      <w:hyperlink r:id="rId7" w:history="1">
        <w:r w:rsidR="00957090" w:rsidRPr="00530C90">
          <w:rPr>
            <w:rStyle w:val="Hyperlink"/>
            <w:sz w:val="22"/>
            <w:szCs w:val="22"/>
          </w:rPr>
          <w:t>www.publicprotectionpartnership.org.uk</w:t>
        </w:r>
      </w:hyperlink>
      <w:r w:rsidR="00D5258A">
        <w:rPr>
          <w:color w:val="auto"/>
          <w:sz w:val="22"/>
          <w:szCs w:val="22"/>
        </w:rPr>
        <w:t xml:space="preserve"> and if you have additional questions please use the contact form on the site. </w:t>
      </w:r>
    </w:p>
    <w:p w:rsidR="00420DCA" w:rsidRDefault="00420DCA" w:rsidP="007262BB">
      <w:pPr>
        <w:rPr>
          <w:sz w:val="23"/>
          <w:szCs w:val="23"/>
        </w:rPr>
      </w:pPr>
    </w:p>
    <w:p w:rsidR="00530C90" w:rsidRDefault="00530C90" w:rsidP="007262BB">
      <w:pPr>
        <w:rPr>
          <w:sz w:val="23"/>
          <w:szCs w:val="23"/>
        </w:rPr>
      </w:pPr>
    </w:p>
    <w:p w:rsidR="00530C90" w:rsidRDefault="00530C90" w:rsidP="007262BB">
      <w:pPr>
        <w:rPr>
          <w:sz w:val="23"/>
          <w:szCs w:val="23"/>
        </w:rPr>
      </w:pPr>
      <w:r>
        <w:rPr>
          <w:noProof/>
          <w:lang w:eastAsia="en-GB"/>
        </w:rPr>
        <w:drawing>
          <wp:anchor distT="0" distB="0" distL="114300" distR="114300" simplePos="0" relativeHeight="251660288" behindDoc="0" locked="0" layoutInCell="1" allowOverlap="1" wp14:anchorId="4DB61BBF" wp14:editId="5E534BF8">
            <wp:simplePos x="0" y="0"/>
            <wp:positionH relativeFrom="column">
              <wp:posOffset>4156591</wp:posOffset>
            </wp:positionH>
            <wp:positionV relativeFrom="paragraph">
              <wp:posOffset>-545143</wp:posOffset>
            </wp:positionV>
            <wp:extent cx="2016825" cy="421259"/>
            <wp:effectExtent l="0" t="0" r="2540" b="0"/>
            <wp:wrapNone/>
            <wp:docPr id="1" name="Picture 1" descr="PP_BWW-logo-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P_BWW-logo-Master.jp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016825" cy="421259"/>
                    </a:xfrm>
                    <a:prstGeom prst="rect">
                      <a:avLst/>
                    </a:prstGeom>
                    <a:noFill/>
                    <a:ln>
                      <a:noFill/>
                    </a:ln>
                  </pic:spPr>
                </pic:pic>
              </a:graphicData>
            </a:graphic>
          </wp:anchor>
        </w:drawing>
      </w:r>
    </w:p>
    <w:tbl>
      <w:tblPr>
        <w:tblStyle w:val="TableGrid"/>
        <w:tblW w:w="0" w:type="auto"/>
        <w:tblInd w:w="108" w:type="dxa"/>
        <w:tblLook w:val="04A0" w:firstRow="1" w:lastRow="0" w:firstColumn="1" w:lastColumn="0" w:noHBand="0" w:noVBand="1"/>
      </w:tblPr>
      <w:tblGrid>
        <w:gridCol w:w="2379"/>
        <w:gridCol w:w="6529"/>
      </w:tblGrid>
      <w:tr w:rsidR="00420DCA" w:rsidRPr="008B4ACA" w:rsidTr="00420DCA">
        <w:tc>
          <w:tcPr>
            <w:tcW w:w="8908" w:type="dxa"/>
            <w:gridSpan w:val="2"/>
          </w:tcPr>
          <w:p w:rsidR="00420DCA" w:rsidRPr="00957090" w:rsidRDefault="00420DCA" w:rsidP="00420DCA">
            <w:pPr>
              <w:rPr>
                <w:rFonts w:cstheme="minorHAnsi"/>
                <w:b/>
              </w:rPr>
            </w:pPr>
            <w:r w:rsidRPr="00957090">
              <w:rPr>
                <w:rFonts w:cstheme="minorHAnsi"/>
                <w:b/>
              </w:rPr>
              <w:t>Noise Management Plan</w:t>
            </w:r>
          </w:p>
        </w:tc>
      </w:tr>
      <w:tr w:rsidR="00957090" w:rsidRPr="008B4ACA" w:rsidTr="00420DCA">
        <w:tc>
          <w:tcPr>
            <w:tcW w:w="8908" w:type="dxa"/>
            <w:gridSpan w:val="2"/>
          </w:tcPr>
          <w:p w:rsidR="00957090" w:rsidRPr="00957090" w:rsidRDefault="00957090" w:rsidP="00957090">
            <w:pPr>
              <w:pStyle w:val="Default"/>
              <w:rPr>
                <w:color w:val="auto"/>
              </w:rPr>
            </w:pPr>
            <w:r>
              <w:rPr>
                <w:color w:val="auto"/>
              </w:rPr>
              <w:t>Name of Premises:</w:t>
            </w:r>
          </w:p>
          <w:p w:rsidR="00957090" w:rsidRPr="00957090" w:rsidRDefault="00957090" w:rsidP="00420DCA">
            <w:pPr>
              <w:rPr>
                <w:rFonts w:cstheme="minorHAnsi"/>
                <w:b/>
              </w:rPr>
            </w:pPr>
          </w:p>
        </w:tc>
      </w:tr>
      <w:tr w:rsidR="00420DCA" w:rsidRPr="008B4ACA" w:rsidTr="00420DCA">
        <w:tc>
          <w:tcPr>
            <w:tcW w:w="2379" w:type="dxa"/>
          </w:tcPr>
          <w:p w:rsidR="00420DCA" w:rsidRPr="00957090" w:rsidRDefault="00420DCA" w:rsidP="00BE337C">
            <w:pPr>
              <w:rPr>
                <w:rFonts w:cstheme="minorHAnsi"/>
                <w:b/>
                <w:sz w:val="20"/>
                <w:szCs w:val="20"/>
              </w:rPr>
            </w:pPr>
            <w:r w:rsidRPr="00957090">
              <w:rPr>
                <w:rFonts w:cstheme="minorHAnsi"/>
                <w:b/>
                <w:sz w:val="20"/>
                <w:szCs w:val="20"/>
              </w:rPr>
              <w:t>Summary of Premises/Site/Event</w:t>
            </w:r>
          </w:p>
          <w:p w:rsidR="00420DCA" w:rsidRDefault="00420DCA" w:rsidP="00BE337C">
            <w:pPr>
              <w:rPr>
                <w:rFonts w:cstheme="minorHAnsi"/>
              </w:rPr>
            </w:pPr>
          </w:p>
          <w:p w:rsidR="00957090" w:rsidRPr="00957090" w:rsidRDefault="00957090" w:rsidP="00BE337C">
            <w:pPr>
              <w:rPr>
                <w:rFonts w:cstheme="minorHAnsi"/>
              </w:rPr>
            </w:pPr>
          </w:p>
        </w:tc>
        <w:tc>
          <w:tcPr>
            <w:tcW w:w="6529" w:type="dxa"/>
          </w:tcPr>
          <w:p w:rsidR="00420DCA" w:rsidRPr="008B4ACA" w:rsidRDefault="00420DCA" w:rsidP="00420DCA">
            <w:pPr>
              <w:numPr>
                <w:ilvl w:val="0"/>
                <w:numId w:val="2"/>
              </w:numPr>
              <w:ind w:left="318" w:hanging="284"/>
              <w:contextualSpacing/>
              <w:rPr>
                <w:sz w:val="20"/>
                <w:szCs w:val="20"/>
              </w:rPr>
            </w:pPr>
          </w:p>
        </w:tc>
      </w:tr>
      <w:tr w:rsidR="00420DCA" w:rsidRPr="008B4ACA" w:rsidTr="00420DCA">
        <w:tc>
          <w:tcPr>
            <w:tcW w:w="2379" w:type="dxa"/>
          </w:tcPr>
          <w:p w:rsidR="00420DCA" w:rsidRPr="00957090" w:rsidRDefault="00420DCA" w:rsidP="00BE337C">
            <w:pPr>
              <w:rPr>
                <w:rFonts w:cstheme="minorHAnsi"/>
                <w:b/>
                <w:sz w:val="20"/>
                <w:szCs w:val="20"/>
              </w:rPr>
            </w:pPr>
            <w:r w:rsidRPr="00957090">
              <w:rPr>
                <w:rFonts w:cstheme="minorHAnsi"/>
                <w:b/>
                <w:sz w:val="20"/>
                <w:szCs w:val="20"/>
              </w:rPr>
              <w:t>Statement of intent/key objectives (purpose of NMP)</w:t>
            </w:r>
          </w:p>
          <w:p w:rsidR="00420DCA" w:rsidRPr="00957090" w:rsidRDefault="00420DCA" w:rsidP="00BE337C">
            <w:pPr>
              <w:rPr>
                <w:rFonts w:cstheme="minorHAnsi"/>
              </w:rPr>
            </w:pPr>
          </w:p>
        </w:tc>
        <w:tc>
          <w:tcPr>
            <w:tcW w:w="6529" w:type="dxa"/>
          </w:tcPr>
          <w:p w:rsidR="00420DCA" w:rsidRPr="008B4ACA" w:rsidRDefault="00420DCA" w:rsidP="00420DCA">
            <w:pPr>
              <w:numPr>
                <w:ilvl w:val="0"/>
                <w:numId w:val="2"/>
              </w:numPr>
              <w:ind w:left="318" w:hanging="284"/>
              <w:contextualSpacing/>
              <w:rPr>
                <w:sz w:val="20"/>
                <w:szCs w:val="20"/>
              </w:rPr>
            </w:pPr>
          </w:p>
        </w:tc>
      </w:tr>
      <w:tr w:rsidR="00420DCA" w:rsidRPr="008B4ACA" w:rsidTr="00420DCA">
        <w:tc>
          <w:tcPr>
            <w:tcW w:w="2379" w:type="dxa"/>
          </w:tcPr>
          <w:p w:rsidR="00420DCA" w:rsidRPr="00957090" w:rsidRDefault="00420DCA" w:rsidP="00BE337C">
            <w:pPr>
              <w:rPr>
                <w:rFonts w:cstheme="minorHAnsi"/>
                <w:b/>
                <w:sz w:val="20"/>
                <w:szCs w:val="20"/>
              </w:rPr>
            </w:pPr>
            <w:r w:rsidRPr="00957090">
              <w:rPr>
                <w:rFonts w:cstheme="minorHAnsi"/>
                <w:b/>
                <w:sz w:val="20"/>
                <w:szCs w:val="20"/>
              </w:rPr>
              <w:t>Location Plan and Site Plan</w:t>
            </w:r>
          </w:p>
          <w:p w:rsidR="00420DCA" w:rsidRDefault="00420DCA" w:rsidP="00BE337C">
            <w:pPr>
              <w:rPr>
                <w:rFonts w:cstheme="minorHAnsi"/>
                <w:b/>
              </w:rPr>
            </w:pPr>
          </w:p>
          <w:p w:rsidR="00957090" w:rsidRPr="00957090" w:rsidRDefault="00957090" w:rsidP="00BE337C">
            <w:pPr>
              <w:rPr>
                <w:rFonts w:cstheme="minorHAnsi"/>
                <w:b/>
              </w:rPr>
            </w:pPr>
          </w:p>
        </w:tc>
        <w:tc>
          <w:tcPr>
            <w:tcW w:w="6529" w:type="dxa"/>
          </w:tcPr>
          <w:p w:rsidR="00420DCA" w:rsidRPr="008B4ACA" w:rsidRDefault="00420DCA" w:rsidP="00420DCA">
            <w:pPr>
              <w:numPr>
                <w:ilvl w:val="0"/>
                <w:numId w:val="2"/>
              </w:numPr>
              <w:ind w:left="318" w:hanging="284"/>
              <w:contextualSpacing/>
              <w:rPr>
                <w:sz w:val="20"/>
                <w:szCs w:val="20"/>
              </w:rPr>
            </w:pPr>
          </w:p>
        </w:tc>
      </w:tr>
      <w:tr w:rsidR="00420DCA" w:rsidRPr="008B4ACA" w:rsidTr="00420DCA">
        <w:tc>
          <w:tcPr>
            <w:tcW w:w="2379" w:type="dxa"/>
          </w:tcPr>
          <w:p w:rsidR="00420DCA" w:rsidRPr="00957090" w:rsidRDefault="00420DCA" w:rsidP="00BE337C">
            <w:pPr>
              <w:rPr>
                <w:rFonts w:cstheme="minorHAnsi"/>
                <w:b/>
                <w:sz w:val="20"/>
                <w:szCs w:val="20"/>
              </w:rPr>
            </w:pPr>
            <w:r w:rsidRPr="00957090">
              <w:rPr>
                <w:rFonts w:cstheme="minorHAnsi"/>
                <w:b/>
                <w:sz w:val="20"/>
                <w:szCs w:val="20"/>
              </w:rPr>
              <w:t>Inventory of Noise Sources</w:t>
            </w:r>
          </w:p>
          <w:p w:rsidR="00420DCA" w:rsidRDefault="00420DCA" w:rsidP="00BE337C">
            <w:pPr>
              <w:rPr>
                <w:rFonts w:cstheme="minorHAnsi"/>
                <w:b/>
              </w:rPr>
            </w:pPr>
          </w:p>
          <w:p w:rsidR="00957090" w:rsidRPr="00957090" w:rsidRDefault="00957090" w:rsidP="00BE337C">
            <w:pPr>
              <w:rPr>
                <w:rFonts w:cstheme="minorHAnsi"/>
                <w:b/>
              </w:rPr>
            </w:pPr>
          </w:p>
        </w:tc>
        <w:tc>
          <w:tcPr>
            <w:tcW w:w="6529" w:type="dxa"/>
          </w:tcPr>
          <w:p w:rsidR="00420DCA" w:rsidRPr="008B4ACA" w:rsidRDefault="00420DCA" w:rsidP="00420DCA">
            <w:pPr>
              <w:numPr>
                <w:ilvl w:val="0"/>
                <w:numId w:val="2"/>
              </w:numPr>
              <w:ind w:left="318" w:hanging="284"/>
              <w:contextualSpacing/>
              <w:rPr>
                <w:sz w:val="20"/>
                <w:szCs w:val="20"/>
              </w:rPr>
            </w:pPr>
          </w:p>
        </w:tc>
      </w:tr>
      <w:tr w:rsidR="00420DCA" w:rsidRPr="008B4ACA" w:rsidTr="00420DCA">
        <w:tc>
          <w:tcPr>
            <w:tcW w:w="2379" w:type="dxa"/>
          </w:tcPr>
          <w:p w:rsidR="00420DCA" w:rsidRPr="00957090" w:rsidRDefault="00420DCA" w:rsidP="00BE337C">
            <w:pPr>
              <w:rPr>
                <w:rFonts w:cstheme="minorHAnsi"/>
                <w:b/>
                <w:sz w:val="20"/>
                <w:szCs w:val="20"/>
              </w:rPr>
            </w:pPr>
            <w:r w:rsidRPr="00957090">
              <w:rPr>
                <w:rFonts w:cstheme="minorHAnsi"/>
                <w:b/>
                <w:sz w:val="20"/>
                <w:szCs w:val="20"/>
              </w:rPr>
              <w:t>Noise Controls including noise limits (usually agreed with the Council)</w:t>
            </w:r>
          </w:p>
          <w:p w:rsidR="00420DCA" w:rsidRPr="00957090" w:rsidRDefault="00420DCA" w:rsidP="00BE337C">
            <w:pPr>
              <w:rPr>
                <w:rFonts w:cstheme="minorHAnsi"/>
              </w:rPr>
            </w:pPr>
          </w:p>
        </w:tc>
        <w:tc>
          <w:tcPr>
            <w:tcW w:w="6529" w:type="dxa"/>
          </w:tcPr>
          <w:p w:rsidR="00420DCA" w:rsidRPr="008B4ACA" w:rsidRDefault="00420DCA" w:rsidP="00420DCA">
            <w:pPr>
              <w:numPr>
                <w:ilvl w:val="0"/>
                <w:numId w:val="2"/>
              </w:numPr>
              <w:ind w:left="318" w:hanging="284"/>
              <w:contextualSpacing/>
            </w:pPr>
          </w:p>
        </w:tc>
      </w:tr>
      <w:tr w:rsidR="00420DCA" w:rsidRPr="008B4ACA" w:rsidTr="00420DCA">
        <w:tc>
          <w:tcPr>
            <w:tcW w:w="2379" w:type="dxa"/>
          </w:tcPr>
          <w:p w:rsidR="00420DCA" w:rsidRDefault="00420DCA" w:rsidP="00BE337C">
            <w:pPr>
              <w:rPr>
                <w:rFonts w:cstheme="minorHAnsi"/>
                <w:b/>
                <w:sz w:val="20"/>
                <w:szCs w:val="20"/>
              </w:rPr>
            </w:pPr>
            <w:r w:rsidRPr="00957090">
              <w:rPr>
                <w:rFonts w:cstheme="minorHAnsi"/>
                <w:b/>
                <w:sz w:val="20"/>
                <w:szCs w:val="20"/>
              </w:rPr>
              <w:t>Noise Monitoring</w:t>
            </w:r>
          </w:p>
          <w:p w:rsidR="00957090" w:rsidRPr="00957090" w:rsidRDefault="00957090" w:rsidP="00BE337C">
            <w:pPr>
              <w:rPr>
                <w:rFonts w:cstheme="minorHAnsi"/>
                <w:b/>
                <w:sz w:val="20"/>
                <w:szCs w:val="20"/>
              </w:rPr>
            </w:pPr>
          </w:p>
          <w:p w:rsidR="00420DCA" w:rsidRDefault="00420DCA" w:rsidP="00BE337C">
            <w:pPr>
              <w:rPr>
                <w:rFonts w:cstheme="minorHAnsi"/>
              </w:rPr>
            </w:pPr>
          </w:p>
          <w:p w:rsidR="00957090" w:rsidRPr="00957090" w:rsidRDefault="00957090" w:rsidP="00BE337C">
            <w:pPr>
              <w:rPr>
                <w:rFonts w:cstheme="minorHAnsi"/>
              </w:rPr>
            </w:pPr>
          </w:p>
        </w:tc>
        <w:tc>
          <w:tcPr>
            <w:tcW w:w="6529" w:type="dxa"/>
          </w:tcPr>
          <w:p w:rsidR="00420DCA" w:rsidRPr="008B4ACA" w:rsidRDefault="00420DCA" w:rsidP="00420DCA">
            <w:pPr>
              <w:numPr>
                <w:ilvl w:val="0"/>
                <w:numId w:val="2"/>
              </w:numPr>
              <w:ind w:left="318" w:hanging="284"/>
              <w:contextualSpacing/>
            </w:pPr>
          </w:p>
        </w:tc>
      </w:tr>
      <w:tr w:rsidR="00420DCA" w:rsidRPr="008B4ACA" w:rsidTr="00420DCA">
        <w:tc>
          <w:tcPr>
            <w:tcW w:w="2379" w:type="dxa"/>
          </w:tcPr>
          <w:p w:rsidR="00420DCA" w:rsidRPr="00957090" w:rsidRDefault="00420DCA" w:rsidP="00BE337C">
            <w:pPr>
              <w:rPr>
                <w:rFonts w:cstheme="minorHAnsi"/>
                <w:b/>
                <w:sz w:val="20"/>
                <w:szCs w:val="20"/>
              </w:rPr>
            </w:pPr>
            <w:r w:rsidRPr="00957090">
              <w:rPr>
                <w:rFonts w:cstheme="minorHAnsi"/>
                <w:b/>
                <w:sz w:val="20"/>
                <w:szCs w:val="20"/>
              </w:rPr>
              <w:t>Communication with the Public including a hot line to receive complaints</w:t>
            </w:r>
          </w:p>
          <w:p w:rsidR="00420DCA" w:rsidRPr="00957090" w:rsidRDefault="00420DCA" w:rsidP="00BE337C">
            <w:pPr>
              <w:rPr>
                <w:rFonts w:cstheme="minorHAnsi"/>
                <w:b/>
              </w:rPr>
            </w:pPr>
          </w:p>
        </w:tc>
        <w:tc>
          <w:tcPr>
            <w:tcW w:w="6529" w:type="dxa"/>
          </w:tcPr>
          <w:p w:rsidR="00420DCA" w:rsidRPr="008B4ACA" w:rsidRDefault="00420DCA" w:rsidP="00420DCA">
            <w:pPr>
              <w:numPr>
                <w:ilvl w:val="0"/>
                <w:numId w:val="2"/>
              </w:numPr>
              <w:ind w:left="318" w:hanging="284"/>
              <w:contextualSpacing/>
            </w:pPr>
          </w:p>
        </w:tc>
      </w:tr>
      <w:tr w:rsidR="00420DCA" w:rsidRPr="008B4ACA" w:rsidTr="00420DCA">
        <w:tc>
          <w:tcPr>
            <w:tcW w:w="2379" w:type="dxa"/>
          </w:tcPr>
          <w:p w:rsidR="00420DCA" w:rsidRDefault="00420DCA" w:rsidP="00BE337C">
            <w:pPr>
              <w:rPr>
                <w:rFonts w:cstheme="minorHAnsi"/>
                <w:b/>
                <w:sz w:val="20"/>
                <w:szCs w:val="20"/>
              </w:rPr>
            </w:pPr>
            <w:r w:rsidRPr="00957090">
              <w:rPr>
                <w:rFonts w:cstheme="minorHAnsi"/>
                <w:b/>
                <w:sz w:val="20"/>
                <w:szCs w:val="20"/>
              </w:rPr>
              <w:t>Action to be taken in the event of complaints or if noise limits are exceeded</w:t>
            </w:r>
          </w:p>
          <w:p w:rsidR="00957090" w:rsidRPr="00957090" w:rsidRDefault="00957090" w:rsidP="00BE337C">
            <w:pPr>
              <w:rPr>
                <w:rFonts w:cstheme="minorHAnsi"/>
                <w:b/>
              </w:rPr>
            </w:pPr>
          </w:p>
        </w:tc>
        <w:tc>
          <w:tcPr>
            <w:tcW w:w="6529" w:type="dxa"/>
          </w:tcPr>
          <w:p w:rsidR="00420DCA" w:rsidRPr="008B4ACA" w:rsidRDefault="00420DCA" w:rsidP="00420DCA">
            <w:pPr>
              <w:numPr>
                <w:ilvl w:val="0"/>
                <w:numId w:val="2"/>
              </w:numPr>
              <w:ind w:left="318" w:hanging="284"/>
              <w:contextualSpacing/>
            </w:pPr>
          </w:p>
        </w:tc>
      </w:tr>
      <w:tr w:rsidR="00420DCA" w:rsidRPr="008B4ACA" w:rsidTr="00420DCA">
        <w:tc>
          <w:tcPr>
            <w:tcW w:w="2379" w:type="dxa"/>
          </w:tcPr>
          <w:p w:rsidR="00420DCA" w:rsidRPr="00957090" w:rsidRDefault="00420DCA" w:rsidP="00BE337C">
            <w:pPr>
              <w:rPr>
                <w:rFonts w:cstheme="minorHAnsi"/>
                <w:b/>
                <w:sz w:val="20"/>
                <w:szCs w:val="20"/>
              </w:rPr>
            </w:pPr>
            <w:r w:rsidRPr="00957090">
              <w:rPr>
                <w:rFonts w:cstheme="minorHAnsi"/>
                <w:b/>
                <w:sz w:val="20"/>
                <w:szCs w:val="20"/>
              </w:rPr>
              <w:t>Management command and communication structure</w:t>
            </w:r>
          </w:p>
          <w:p w:rsidR="00420DCA" w:rsidRPr="00957090" w:rsidRDefault="00420DCA" w:rsidP="00BE337C">
            <w:pPr>
              <w:rPr>
                <w:rFonts w:cstheme="minorHAnsi"/>
                <w:b/>
              </w:rPr>
            </w:pPr>
          </w:p>
        </w:tc>
        <w:tc>
          <w:tcPr>
            <w:tcW w:w="6529" w:type="dxa"/>
          </w:tcPr>
          <w:p w:rsidR="00420DCA" w:rsidRPr="008B4ACA" w:rsidRDefault="00420DCA" w:rsidP="00420DCA">
            <w:pPr>
              <w:numPr>
                <w:ilvl w:val="0"/>
                <w:numId w:val="2"/>
              </w:numPr>
              <w:ind w:left="318" w:hanging="284"/>
              <w:contextualSpacing/>
            </w:pPr>
          </w:p>
        </w:tc>
      </w:tr>
      <w:tr w:rsidR="00420DCA" w:rsidRPr="008B4ACA" w:rsidTr="00420DCA">
        <w:tc>
          <w:tcPr>
            <w:tcW w:w="2379" w:type="dxa"/>
          </w:tcPr>
          <w:p w:rsidR="00420DCA" w:rsidRPr="00957090" w:rsidRDefault="00420DCA" w:rsidP="00BE337C">
            <w:pPr>
              <w:rPr>
                <w:rFonts w:cstheme="minorHAnsi"/>
                <w:b/>
              </w:rPr>
            </w:pPr>
            <w:r w:rsidRPr="00957090">
              <w:rPr>
                <w:rFonts w:cstheme="minorHAnsi"/>
                <w:b/>
                <w:sz w:val="20"/>
                <w:szCs w:val="20"/>
              </w:rPr>
              <w:t>Schedule of contact details including person with overall control for sound levels</w:t>
            </w:r>
          </w:p>
        </w:tc>
        <w:tc>
          <w:tcPr>
            <w:tcW w:w="6529" w:type="dxa"/>
          </w:tcPr>
          <w:p w:rsidR="00420DCA" w:rsidRPr="008B4ACA" w:rsidRDefault="00420DCA" w:rsidP="00420DCA">
            <w:pPr>
              <w:numPr>
                <w:ilvl w:val="0"/>
                <w:numId w:val="2"/>
              </w:numPr>
              <w:ind w:left="318" w:hanging="284"/>
              <w:contextualSpacing/>
            </w:pPr>
          </w:p>
        </w:tc>
      </w:tr>
      <w:tr w:rsidR="00420DCA" w:rsidRPr="008B4ACA" w:rsidTr="00420DCA">
        <w:tc>
          <w:tcPr>
            <w:tcW w:w="2379" w:type="dxa"/>
          </w:tcPr>
          <w:p w:rsidR="00420DCA" w:rsidRPr="00957090" w:rsidRDefault="00420DCA" w:rsidP="00BE337C">
            <w:pPr>
              <w:rPr>
                <w:rFonts w:cstheme="minorHAnsi"/>
                <w:b/>
              </w:rPr>
            </w:pPr>
            <w:r w:rsidRPr="00957090">
              <w:rPr>
                <w:rFonts w:cstheme="minorHAnsi"/>
                <w:b/>
                <w:sz w:val="20"/>
                <w:szCs w:val="20"/>
              </w:rPr>
              <w:t>Follow up report/review</w:t>
            </w:r>
          </w:p>
          <w:p w:rsidR="00420DCA" w:rsidRPr="00957090" w:rsidRDefault="00420DCA" w:rsidP="00BE337C">
            <w:pPr>
              <w:rPr>
                <w:rFonts w:cstheme="minorHAnsi"/>
                <w:b/>
              </w:rPr>
            </w:pPr>
          </w:p>
        </w:tc>
        <w:tc>
          <w:tcPr>
            <w:tcW w:w="6529" w:type="dxa"/>
          </w:tcPr>
          <w:p w:rsidR="00420DCA" w:rsidRPr="008B4ACA" w:rsidRDefault="00420DCA" w:rsidP="00420DCA">
            <w:pPr>
              <w:numPr>
                <w:ilvl w:val="0"/>
                <w:numId w:val="3"/>
              </w:numPr>
              <w:ind w:left="318" w:hanging="284"/>
              <w:contextualSpacing/>
            </w:pPr>
          </w:p>
        </w:tc>
      </w:tr>
    </w:tbl>
    <w:p w:rsidR="00420DCA" w:rsidRPr="002B5D8C" w:rsidRDefault="00420DCA" w:rsidP="007262BB"/>
    <w:sectPr w:rsidR="00420DCA" w:rsidRPr="002B5D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77817"/>
    <w:multiLevelType w:val="hybridMultilevel"/>
    <w:tmpl w:val="C5EA3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D80FDF"/>
    <w:multiLevelType w:val="hybridMultilevel"/>
    <w:tmpl w:val="2F08B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4F5C26"/>
    <w:multiLevelType w:val="hybridMultilevel"/>
    <w:tmpl w:val="460E1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2BB"/>
    <w:rsid w:val="00177F35"/>
    <w:rsid w:val="00244458"/>
    <w:rsid w:val="002B5D8C"/>
    <w:rsid w:val="00420DCA"/>
    <w:rsid w:val="004850EE"/>
    <w:rsid w:val="00496883"/>
    <w:rsid w:val="00530C90"/>
    <w:rsid w:val="007262BB"/>
    <w:rsid w:val="007D0DED"/>
    <w:rsid w:val="00915E68"/>
    <w:rsid w:val="00957090"/>
    <w:rsid w:val="00AD6A56"/>
    <w:rsid w:val="00AF3135"/>
    <w:rsid w:val="00C0584C"/>
    <w:rsid w:val="00C90C0D"/>
    <w:rsid w:val="00CD3E8D"/>
    <w:rsid w:val="00D023C5"/>
    <w:rsid w:val="00D5258A"/>
    <w:rsid w:val="00EE23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297BA0-088D-4D9B-8EC3-0E5B2AFAE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D8C"/>
    <w:rPr>
      <w:sz w:val="24"/>
      <w:szCs w:val="24"/>
    </w:rPr>
  </w:style>
  <w:style w:type="paragraph" w:styleId="Heading1">
    <w:name w:val="heading 1"/>
    <w:basedOn w:val="Normal"/>
    <w:next w:val="Normal"/>
    <w:link w:val="Heading1Char"/>
    <w:uiPriority w:val="9"/>
    <w:qFormat/>
    <w:rsid w:val="002B5D8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B5D8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B5D8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B5D8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B5D8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B5D8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B5D8C"/>
    <w:pPr>
      <w:spacing w:before="240" w:after="60"/>
      <w:outlineLvl w:val="6"/>
    </w:pPr>
  </w:style>
  <w:style w:type="paragraph" w:styleId="Heading8">
    <w:name w:val="heading 8"/>
    <w:basedOn w:val="Normal"/>
    <w:next w:val="Normal"/>
    <w:link w:val="Heading8Char"/>
    <w:uiPriority w:val="9"/>
    <w:semiHidden/>
    <w:unhideWhenUsed/>
    <w:qFormat/>
    <w:rsid w:val="002B5D8C"/>
    <w:pPr>
      <w:spacing w:before="240" w:after="60"/>
      <w:outlineLvl w:val="7"/>
    </w:pPr>
    <w:rPr>
      <w:i/>
      <w:iCs/>
    </w:rPr>
  </w:style>
  <w:style w:type="paragraph" w:styleId="Heading9">
    <w:name w:val="heading 9"/>
    <w:basedOn w:val="Normal"/>
    <w:next w:val="Normal"/>
    <w:link w:val="Heading9Char"/>
    <w:uiPriority w:val="9"/>
    <w:semiHidden/>
    <w:unhideWhenUsed/>
    <w:qFormat/>
    <w:rsid w:val="002B5D8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D8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B5D8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B5D8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B5D8C"/>
    <w:rPr>
      <w:b/>
      <w:bCs/>
      <w:sz w:val="28"/>
      <w:szCs w:val="28"/>
    </w:rPr>
  </w:style>
  <w:style w:type="character" w:customStyle="1" w:styleId="Heading5Char">
    <w:name w:val="Heading 5 Char"/>
    <w:basedOn w:val="DefaultParagraphFont"/>
    <w:link w:val="Heading5"/>
    <w:uiPriority w:val="9"/>
    <w:semiHidden/>
    <w:rsid w:val="002B5D8C"/>
    <w:rPr>
      <w:b/>
      <w:bCs/>
      <w:i/>
      <w:iCs/>
      <w:sz w:val="26"/>
      <w:szCs w:val="26"/>
    </w:rPr>
  </w:style>
  <w:style w:type="character" w:customStyle="1" w:styleId="Heading6Char">
    <w:name w:val="Heading 6 Char"/>
    <w:basedOn w:val="DefaultParagraphFont"/>
    <w:link w:val="Heading6"/>
    <w:uiPriority w:val="9"/>
    <w:semiHidden/>
    <w:rsid w:val="002B5D8C"/>
    <w:rPr>
      <w:b/>
      <w:bCs/>
    </w:rPr>
  </w:style>
  <w:style w:type="character" w:customStyle="1" w:styleId="Heading7Char">
    <w:name w:val="Heading 7 Char"/>
    <w:basedOn w:val="DefaultParagraphFont"/>
    <w:link w:val="Heading7"/>
    <w:uiPriority w:val="9"/>
    <w:semiHidden/>
    <w:rsid w:val="002B5D8C"/>
    <w:rPr>
      <w:sz w:val="24"/>
      <w:szCs w:val="24"/>
    </w:rPr>
  </w:style>
  <w:style w:type="character" w:customStyle="1" w:styleId="Heading8Char">
    <w:name w:val="Heading 8 Char"/>
    <w:basedOn w:val="DefaultParagraphFont"/>
    <w:link w:val="Heading8"/>
    <w:uiPriority w:val="9"/>
    <w:semiHidden/>
    <w:rsid w:val="002B5D8C"/>
    <w:rPr>
      <w:i/>
      <w:iCs/>
      <w:sz w:val="24"/>
      <w:szCs w:val="24"/>
    </w:rPr>
  </w:style>
  <w:style w:type="character" w:customStyle="1" w:styleId="Heading9Char">
    <w:name w:val="Heading 9 Char"/>
    <w:basedOn w:val="DefaultParagraphFont"/>
    <w:link w:val="Heading9"/>
    <w:uiPriority w:val="9"/>
    <w:semiHidden/>
    <w:rsid w:val="002B5D8C"/>
    <w:rPr>
      <w:rFonts w:asciiTheme="majorHAnsi" w:eastAsiaTheme="majorEastAsia" w:hAnsiTheme="majorHAnsi"/>
    </w:rPr>
  </w:style>
  <w:style w:type="paragraph" w:styleId="Title">
    <w:name w:val="Title"/>
    <w:basedOn w:val="Normal"/>
    <w:next w:val="Normal"/>
    <w:link w:val="TitleChar"/>
    <w:uiPriority w:val="10"/>
    <w:qFormat/>
    <w:rsid w:val="002B5D8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B5D8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B5D8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B5D8C"/>
    <w:rPr>
      <w:rFonts w:asciiTheme="majorHAnsi" w:eastAsiaTheme="majorEastAsia" w:hAnsiTheme="majorHAnsi"/>
      <w:sz w:val="24"/>
      <w:szCs w:val="24"/>
    </w:rPr>
  </w:style>
  <w:style w:type="character" w:styleId="Strong">
    <w:name w:val="Strong"/>
    <w:basedOn w:val="DefaultParagraphFont"/>
    <w:uiPriority w:val="22"/>
    <w:qFormat/>
    <w:rsid w:val="002B5D8C"/>
    <w:rPr>
      <w:b/>
      <w:bCs/>
    </w:rPr>
  </w:style>
  <w:style w:type="character" w:styleId="Emphasis">
    <w:name w:val="Emphasis"/>
    <w:basedOn w:val="DefaultParagraphFont"/>
    <w:uiPriority w:val="20"/>
    <w:qFormat/>
    <w:rsid w:val="002B5D8C"/>
    <w:rPr>
      <w:rFonts w:asciiTheme="minorHAnsi" w:hAnsiTheme="minorHAnsi"/>
      <w:b/>
      <w:i/>
      <w:iCs/>
    </w:rPr>
  </w:style>
  <w:style w:type="paragraph" w:styleId="NoSpacing">
    <w:name w:val="No Spacing"/>
    <w:basedOn w:val="Normal"/>
    <w:uiPriority w:val="1"/>
    <w:qFormat/>
    <w:rsid w:val="002B5D8C"/>
    <w:rPr>
      <w:szCs w:val="32"/>
    </w:rPr>
  </w:style>
  <w:style w:type="paragraph" w:styleId="ListParagraph">
    <w:name w:val="List Paragraph"/>
    <w:basedOn w:val="Normal"/>
    <w:uiPriority w:val="34"/>
    <w:qFormat/>
    <w:rsid w:val="002B5D8C"/>
    <w:pPr>
      <w:ind w:left="720"/>
      <w:contextualSpacing/>
    </w:pPr>
  </w:style>
  <w:style w:type="paragraph" w:styleId="Quote">
    <w:name w:val="Quote"/>
    <w:basedOn w:val="Normal"/>
    <w:next w:val="Normal"/>
    <w:link w:val="QuoteChar"/>
    <w:uiPriority w:val="29"/>
    <w:qFormat/>
    <w:rsid w:val="002B5D8C"/>
    <w:rPr>
      <w:i/>
    </w:rPr>
  </w:style>
  <w:style w:type="character" w:customStyle="1" w:styleId="QuoteChar">
    <w:name w:val="Quote Char"/>
    <w:basedOn w:val="DefaultParagraphFont"/>
    <w:link w:val="Quote"/>
    <w:uiPriority w:val="29"/>
    <w:rsid w:val="002B5D8C"/>
    <w:rPr>
      <w:i/>
      <w:sz w:val="24"/>
      <w:szCs w:val="24"/>
    </w:rPr>
  </w:style>
  <w:style w:type="paragraph" w:styleId="IntenseQuote">
    <w:name w:val="Intense Quote"/>
    <w:basedOn w:val="Normal"/>
    <w:next w:val="Normal"/>
    <w:link w:val="IntenseQuoteChar"/>
    <w:uiPriority w:val="30"/>
    <w:qFormat/>
    <w:rsid w:val="002B5D8C"/>
    <w:pPr>
      <w:ind w:left="720" w:right="720"/>
    </w:pPr>
    <w:rPr>
      <w:b/>
      <w:i/>
      <w:szCs w:val="22"/>
    </w:rPr>
  </w:style>
  <w:style w:type="character" w:customStyle="1" w:styleId="IntenseQuoteChar">
    <w:name w:val="Intense Quote Char"/>
    <w:basedOn w:val="DefaultParagraphFont"/>
    <w:link w:val="IntenseQuote"/>
    <w:uiPriority w:val="30"/>
    <w:rsid w:val="002B5D8C"/>
    <w:rPr>
      <w:b/>
      <w:i/>
      <w:sz w:val="24"/>
    </w:rPr>
  </w:style>
  <w:style w:type="character" w:styleId="SubtleEmphasis">
    <w:name w:val="Subtle Emphasis"/>
    <w:uiPriority w:val="19"/>
    <w:qFormat/>
    <w:rsid w:val="002B5D8C"/>
    <w:rPr>
      <w:i/>
      <w:color w:val="5A5A5A" w:themeColor="text1" w:themeTint="A5"/>
    </w:rPr>
  </w:style>
  <w:style w:type="character" w:styleId="IntenseEmphasis">
    <w:name w:val="Intense Emphasis"/>
    <w:basedOn w:val="DefaultParagraphFont"/>
    <w:uiPriority w:val="21"/>
    <w:qFormat/>
    <w:rsid w:val="002B5D8C"/>
    <w:rPr>
      <w:b/>
      <w:i/>
      <w:sz w:val="24"/>
      <w:szCs w:val="24"/>
      <w:u w:val="single"/>
    </w:rPr>
  </w:style>
  <w:style w:type="character" w:styleId="SubtleReference">
    <w:name w:val="Subtle Reference"/>
    <w:basedOn w:val="DefaultParagraphFont"/>
    <w:uiPriority w:val="31"/>
    <w:qFormat/>
    <w:rsid w:val="002B5D8C"/>
    <w:rPr>
      <w:sz w:val="24"/>
      <w:szCs w:val="24"/>
      <w:u w:val="single"/>
    </w:rPr>
  </w:style>
  <w:style w:type="character" w:styleId="IntenseReference">
    <w:name w:val="Intense Reference"/>
    <w:basedOn w:val="DefaultParagraphFont"/>
    <w:uiPriority w:val="32"/>
    <w:qFormat/>
    <w:rsid w:val="002B5D8C"/>
    <w:rPr>
      <w:b/>
      <w:sz w:val="24"/>
      <w:u w:val="single"/>
    </w:rPr>
  </w:style>
  <w:style w:type="character" w:styleId="BookTitle">
    <w:name w:val="Book Title"/>
    <w:basedOn w:val="DefaultParagraphFont"/>
    <w:uiPriority w:val="33"/>
    <w:qFormat/>
    <w:rsid w:val="002B5D8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B5D8C"/>
    <w:pPr>
      <w:outlineLvl w:val="9"/>
    </w:pPr>
  </w:style>
  <w:style w:type="paragraph" w:customStyle="1" w:styleId="Default">
    <w:name w:val="Default"/>
    <w:rsid w:val="007262BB"/>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420DCA"/>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70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ublicprotectionpartnership.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jpg@01D271A8.2A952EB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West Berkshire Council</Company>
  <LinksUpToDate>false</LinksUpToDate>
  <CharactersWithSpaces>3884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McLaughlin</dc:creator>
  <cp:keywords/>
  <dc:description/>
  <cp:lastModifiedBy>Lisa Norgate-Barnes</cp:lastModifiedBy>
  <cp:revision>2</cp:revision>
  <dcterms:created xsi:type="dcterms:W3CDTF">2021-03-23T09:58:00Z</dcterms:created>
  <dcterms:modified xsi:type="dcterms:W3CDTF">2021-03-23T09:58:00Z</dcterms:modified>
</cp:coreProperties>
</file>