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p w:rsidR="00EF6C54" w:rsidRPr="00EF6C54" w:rsidRDefault="00EF6C54" w:rsidP="00EF6C54">
      <w:pPr>
        <w:spacing w:after="0" w:line="240" w:lineRule="auto"/>
        <w:ind w:left="-180" w:right="93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Listed below are details of licensing applications received by this authority. You may contact the Licensing Team for further information about any of the applications either by telephone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on 01635 519184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or by email to </w:t>
      </w:r>
      <w:hyperlink r:id="rId4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Applications may be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emailed with redacted information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</w:t>
      </w: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>Anyone who wishes to make representations regarding an application must give notice in writing to the Licensing Team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 xml:space="preserve">, Wokingham Borough Council, Shute End, Wokingham, </w:t>
      </w:r>
      <w:proofErr w:type="gramStart"/>
      <w:r>
        <w:rPr>
          <w:rFonts w:ascii="Arial" w:eastAsia="Times New Roman" w:hAnsi="Arial" w:cs="Arial"/>
          <w:bCs/>
          <w:color w:val="auto"/>
          <w:sz w:val="21"/>
          <w:szCs w:val="21"/>
        </w:rPr>
        <w:t>Berkshire</w:t>
      </w:r>
      <w:proofErr w:type="gramEnd"/>
      <w:r>
        <w:rPr>
          <w:rFonts w:ascii="Arial" w:eastAsia="Times New Roman" w:hAnsi="Arial" w:cs="Arial"/>
          <w:bCs/>
          <w:color w:val="auto"/>
          <w:sz w:val="21"/>
          <w:szCs w:val="21"/>
        </w:rPr>
        <w:t>, RG40 1BN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</w:t>
      </w:r>
      <w:r w:rsidR="00532C2C">
        <w:rPr>
          <w:rFonts w:ascii="Arial" w:eastAsia="Times New Roman" w:hAnsi="Arial" w:cs="Arial"/>
          <w:bCs/>
          <w:color w:val="auto"/>
          <w:sz w:val="21"/>
          <w:szCs w:val="21"/>
        </w:rPr>
        <w:t xml:space="preserve">or 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by email to </w:t>
      </w:r>
      <w:hyperlink r:id="rId5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Pr="00EF6C54">
        <w:rPr>
          <w:rFonts w:ascii="Arial" w:eastAsia="Times New Roman" w:hAnsi="Arial" w:cs="Arial"/>
          <w:color w:val="0000FF"/>
          <w:sz w:val="21"/>
          <w:szCs w:val="21"/>
          <w:u w:val="single"/>
        </w:rPr>
        <w:t>https://publicprotectionpartnership.org.uk/licensing/alcohol-and-entertainment/premises-licence/.</w:t>
      </w:r>
    </w:p>
    <w:p w:rsidR="00EF6C54" w:rsidRPr="00EF6C54" w:rsidRDefault="00EF6C54" w:rsidP="00EF6C54">
      <w:pPr>
        <w:spacing w:after="0" w:line="240" w:lineRule="auto"/>
        <w:ind w:left="-180"/>
        <w:rPr>
          <w:rFonts w:ascii="Arial" w:eastAsia="Times New Roman" w:hAnsi="Arial" w:cs="Arial"/>
          <w:b/>
          <w:iCs/>
          <w:color w:val="auto"/>
          <w:sz w:val="21"/>
          <w:szCs w:val="21"/>
          <w:lang w:eastAsia="en-US"/>
        </w:rPr>
      </w:pPr>
    </w:p>
    <w:p w:rsidR="00EF6C54" w:rsidRDefault="00EF6C54" w:rsidP="00EF6C54">
      <w:pPr>
        <w:spacing w:after="259"/>
        <w:ind w:left="10" w:right="39" w:hanging="10"/>
      </w:pPr>
      <w:r w:rsidRPr="00EF6C54">
        <w:rPr>
          <w:rFonts w:ascii="Arial" w:eastAsia="Times New Roman" w:hAnsi="Arial" w:cs="Arial"/>
          <w:color w:val="auto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tbl>
      <w:tblPr>
        <w:tblStyle w:val="TableGrid"/>
        <w:tblW w:w="15605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2010"/>
        <w:gridCol w:w="10"/>
        <w:gridCol w:w="2212"/>
        <w:gridCol w:w="10"/>
        <w:gridCol w:w="3629"/>
        <w:gridCol w:w="10"/>
        <w:gridCol w:w="5879"/>
        <w:gridCol w:w="1825"/>
        <w:gridCol w:w="10"/>
      </w:tblGrid>
      <w:tr w:rsidR="006153BD" w:rsidTr="008E461A">
        <w:trPr>
          <w:gridBefore w:val="1"/>
          <w:wBefore w:w="10" w:type="dxa"/>
          <w:trHeight w:val="279"/>
        </w:trPr>
        <w:tc>
          <w:tcPr>
            <w:tcW w:w="2020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153BD" w:rsidRDefault="00755D0E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222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6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5879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1835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3E6E70" w:rsidTr="008E461A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6E70" w:rsidRPr="008E461A" w:rsidRDefault="000E7FFA" w:rsidP="00F42907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PR0323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6E70" w:rsidRPr="008E461A" w:rsidRDefault="000E7FFA" w:rsidP="006473C2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  <w:bCs/>
              </w:rPr>
              <w:t>GREYHOUND,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autoSpaceDE w:val="0"/>
              <w:autoSpaceDN w:val="0"/>
              <w:rPr>
                <w:rFonts w:ascii="Arial" w:eastAsiaTheme="minorHAnsi" w:hAnsi="Arial" w:cs="Arial"/>
                <w:bCs/>
                <w:color w:val="auto"/>
              </w:rPr>
            </w:pPr>
            <w:r w:rsidRPr="008E461A">
              <w:rPr>
                <w:rFonts w:ascii="Arial" w:hAnsi="Arial" w:cs="Arial"/>
                <w:bCs/>
              </w:rPr>
              <w:t>LONGWATER ROAD, FINCHAMPSTEAD, RG40 4NP</w:t>
            </w:r>
          </w:p>
          <w:p w:rsidR="003E6E70" w:rsidRPr="008E461A" w:rsidRDefault="003E6E70" w:rsidP="006473C2">
            <w:pPr>
              <w:rPr>
                <w:rFonts w:ascii="Arial" w:hAnsi="Arial" w:cs="Arial"/>
              </w:rPr>
            </w:pPr>
          </w:p>
        </w:tc>
        <w:tc>
          <w:tcPr>
            <w:tcW w:w="5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This is an application to change the layout and design of the premises in accordance with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the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submitted plan, drawing number 21:31/08. The changes include the installation of </w:t>
            </w:r>
            <w:proofErr w:type="spellStart"/>
            <w:r w:rsidRPr="008E461A">
              <w:rPr>
                <w:rFonts w:ascii="Arial" w:eastAsiaTheme="minorEastAsia" w:hAnsi="Arial" w:cs="Arial"/>
                <w:color w:val="auto"/>
              </w:rPr>
              <w:t>bifold</w:t>
            </w:r>
            <w:proofErr w:type="spellEnd"/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doors to the rear of the premises and the licensing of a small area outside the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shop/private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dining, to allow the sale of alcohol.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To add the following conditions to the premises licence: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- The bi-fold doors will be kept closed during regulated entertainment.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- The front terrace will not be used for the sale of alcohol after 22.30 hours on any day.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The opening hours and licensable activities authorised by the premises licence are to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remain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unaltered.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Any part of the variation application that changes the plan/layout at the premises to be of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no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effect until the work has been completed.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Locations of fire safety equipment subject to change in accordance with the requirements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of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the responsible authorities or following a risk assessment.</w:t>
            </w:r>
          </w:p>
          <w:p w:rsidR="000E7FFA" w:rsidRPr="008E461A" w:rsidRDefault="000E7FFA" w:rsidP="000E7F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</w:rPr>
            </w:pPr>
            <w:r w:rsidRPr="008E461A">
              <w:rPr>
                <w:rFonts w:ascii="Arial" w:eastAsiaTheme="minorEastAsia" w:hAnsi="Arial" w:cs="Arial"/>
                <w:color w:val="auto"/>
              </w:rPr>
              <w:t>Any detail shown on the plan that is not required by the licensing plan regulations is</w:t>
            </w:r>
          </w:p>
          <w:p w:rsidR="003E6E70" w:rsidRPr="008E461A" w:rsidRDefault="000E7FFA" w:rsidP="000E7FFA">
            <w:pPr>
              <w:rPr>
                <w:rFonts w:ascii="Arial" w:hAnsi="Arial" w:cs="Arial"/>
              </w:rPr>
            </w:pPr>
            <w:proofErr w:type="gramStart"/>
            <w:r w:rsidRPr="008E461A">
              <w:rPr>
                <w:rFonts w:ascii="Arial" w:eastAsiaTheme="minorEastAsia" w:hAnsi="Arial" w:cs="Arial"/>
                <w:color w:val="auto"/>
              </w:rPr>
              <w:t>indicative</w:t>
            </w:r>
            <w:proofErr w:type="gramEnd"/>
            <w:r w:rsidRPr="008E461A">
              <w:rPr>
                <w:rFonts w:ascii="Arial" w:eastAsiaTheme="minorEastAsia" w:hAnsi="Arial" w:cs="Arial"/>
                <w:color w:val="auto"/>
              </w:rPr>
              <w:t xml:space="preserve"> only and subject to change.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6E70" w:rsidRPr="008E461A" w:rsidRDefault="000E7FFA" w:rsidP="00F42907">
            <w:pPr>
              <w:ind w:right="42"/>
              <w:jc w:val="right"/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08/07/2021</w:t>
            </w:r>
          </w:p>
        </w:tc>
      </w:tr>
      <w:tr w:rsidR="000E7FFA" w:rsidTr="008E461A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  <w:bCs/>
              </w:rPr>
            </w:pPr>
            <w:r w:rsidRPr="008E461A">
              <w:rPr>
                <w:rFonts w:ascii="Arial" w:hAnsi="Arial" w:cs="Arial"/>
                <w:bCs/>
              </w:rPr>
              <w:t>Wokingham Convenience Store Ltd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eastAsiaTheme="minorHAnsi" w:hAnsi="Arial" w:cs="Arial"/>
                <w:bCs/>
                <w:color w:val="auto"/>
              </w:rPr>
            </w:pPr>
            <w:r w:rsidRPr="008E461A">
              <w:rPr>
                <w:rFonts w:ascii="Arial" w:hAnsi="Arial" w:cs="Arial"/>
                <w:bCs/>
              </w:rPr>
              <w:t xml:space="preserve">71 </w:t>
            </w:r>
            <w:proofErr w:type="spellStart"/>
            <w:r w:rsidRPr="008E461A">
              <w:rPr>
                <w:rFonts w:ascii="Arial" w:hAnsi="Arial" w:cs="Arial"/>
                <w:bCs/>
              </w:rPr>
              <w:t>Rances</w:t>
            </w:r>
            <w:proofErr w:type="spellEnd"/>
            <w:r w:rsidRPr="008E461A">
              <w:rPr>
                <w:rFonts w:ascii="Arial" w:hAnsi="Arial" w:cs="Arial"/>
                <w:bCs/>
              </w:rPr>
              <w:t xml:space="preserve"> Lane, Wokingham, RG40 2LQ</w:t>
            </w:r>
          </w:p>
          <w:p w:rsidR="000E7FFA" w:rsidRPr="008E461A" w:rsidRDefault="000E7FFA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5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NEW PREMISES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Sale of alcohol for consumption off the premises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Monday-Saturday</w:t>
            </w:r>
            <w:r w:rsidR="00BE1453">
              <w:rPr>
                <w:rFonts w:ascii="Arial" w:hAnsi="Arial" w:cs="Arial"/>
              </w:rPr>
              <w:t xml:space="preserve"> 07</w:t>
            </w:r>
            <w:r w:rsidRPr="008E461A">
              <w:rPr>
                <w:rFonts w:ascii="Arial" w:hAnsi="Arial" w:cs="Arial"/>
              </w:rPr>
              <w:t>:00-23:00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Sunday 07:00 to 22:00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 xml:space="preserve">Opening times 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Monday to Saturday 06:00 to 23:00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Sunday 06:00 to 22:00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ind w:right="42"/>
              <w:jc w:val="right"/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14/07/2021</w:t>
            </w:r>
          </w:p>
        </w:tc>
      </w:tr>
      <w:tr w:rsidR="000E7FFA" w:rsidTr="008E461A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PR0065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  <w:bCs/>
              </w:rPr>
              <w:t>TG CONVENIENCE STORES LTD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E461A">
              <w:rPr>
                <w:rFonts w:ascii="Arial" w:hAnsi="Arial" w:cs="Arial"/>
                <w:bCs/>
              </w:rPr>
              <w:t>CHARVIL SERVICE STATION, NEW BATH ROAD, CHARVIL, RG10 9RL</w:t>
            </w:r>
          </w:p>
          <w:p w:rsidR="000E7FFA" w:rsidRPr="008E461A" w:rsidRDefault="000E7FFA" w:rsidP="000E7FFA">
            <w:pPr>
              <w:rPr>
                <w:rFonts w:ascii="Arial" w:hAnsi="Arial" w:cs="Arial"/>
              </w:rPr>
            </w:pPr>
          </w:p>
        </w:tc>
        <w:tc>
          <w:tcPr>
            <w:tcW w:w="5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FULL VARIATION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9"/>
            </w:tblGrid>
            <w:tr w:rsidR="000E7FFA" w:rsidRPr="003E6E70">
              <w:trPr>
                <w:trHeight w:val="1303"/>
              </w:trPr>
              <w:tc>
                <w:tcPr>
                  <w:tcW w:w="0" w:type="auto"/>
                </w:tcPr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 xml:space="preserve">The premises is a petrol forecourt store located on New Bath Road, </w:t>
                  </w:r>
                  <w:proofErr w:type="spellStart"/>
                  <w:r w:rsidRPr="003E6E70">
                    <w:rPr>
                      <w:rFonts w:ascii="Arial" w:eastAsiaTheme="minorEastAsia" w:hAnsi="Arial" w:cs="Arial"/>
                    </w:rPr>
                    <w:t>Charvil</w:t>
                  </w:r>
                  <w:proofErr w:type="spellEnd"/>
                  <w:r w:rsidRPr="003E6E70">
                    <w:rPr>
                      <w:rFonts w:ascii="Arial" w:eastAsiaTheme="minorEastAsia" w:hAnsi="Arial" w:cs="Arial"/>
                    </w:rPr>
                    <w:t xml:space="preserve">, </w:t>
                  </w:r>
                  <w:proofErr w:type="gramStart"/>
                  <w:r w:rsidRPr="003E6E70">
                    <w:rPr>
                      <w:rFonts w:ascii="Arial" w:eastAsiaTheme="minorEastAsia" w:hAnsi="Arial" w:cs="Arial"/>
                    </w:rPr>
                    <w:t>Berkshire</w:t>
                  </w:r>
                  <w:proofErr w:type="gramEnd"/>
                  <w:r w:rsidRPr="003E6E70">
                    <w:rPr>
                      <w:rFonts w:ascii="Arial" w:eastAsiaTheme="minorEastAsia" w:hAnsi="Arial" w:cs="Arial"/>
                    </w:rPr>
                    <w:t xml:space="preserve">, RG10 9RL. </w:t>
                  </w:r>
                </w:p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 xml:space="preserve">The variation is to do the following: </w:t>
                  </w:r>
                </w:p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 xml:space="preserve">1. To extend the sale of alcohol to between the hours of 0000 and 2400 daily for consumption off the premises. </w:t>
                  </w:r>
                </w:p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 xml:space="preserve">2. The provision of late night refreshment between the hours of 2300 and 0500 daily. </w:t>
                  </w:r>
                </w:p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 xml:space="preserve">3. To remove the conditions listed under Annex 2. </w:t>
                  </w:r>
                </w:p>
                <w:p w:rsidR="000E7FFA" w:rsidRPr="003E6E70" w:rsidRDefault="000E7FFA" w:rsidP="000E7F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  <w:r w:rsidRPr="003E6E70">
                    <w:rPr>
                      <w:rFonts w:ascii="Arial" w:eastAsiaTheme="minorEastAsia" w:hAnsi="Arial" w:cs="Arial"/>
                    </w:rPr>
                    <w:t>4. To include in Annex 2 the conditions in boxes b to e of Section 16 of the applicati</w:t>
                  </w:r>
                  <w:r w:rsidRPr="008E461A">
                    <w:rPr>
                      <w:rFonts w:ascii="Arial" w:eastAsiaTheme="minorEastAsia" w:hAnsi="Arial" w:cs="Arial"/>
                    </w:rPr>
                    <w:t>on.</w:t>
                  </w:r>
                  <w:r w:rsidRPr="003E6E70">
                    <w:rPr>
                      <w:rFonts w:ascii="Arial" w:eastAsiaTheme="minorEastAsia" w:hAnsi="Arial" w:cs="Arial"/>
                    </w:rPr>
                    <w:t xml:space="preserve"> </w:t>
                  </w:r>
                </w:p>
              </w:tc>
            </w:tr>
          </w:tbl>
          <w:p w:rsidR="000E7FFA" w:rsidRPr="008E461A" w:rsidRDefault="000E7FFA" w:rsidP="000E7FFA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FFA" w:rsidRPr="008E461A" w:rsidRDefault="000E7FFA" w:rsidP="000E7FFA">
            <w:pPr>
              <w:ind w:right="42"/>
              <w:jc w:val="right"/>
              <w:rPr>
                <w:rFonts w:ascii="Arial" w:hAnsi="Arial" w:cs="Arial"/>
              </w:rPr>
            </w:pPr>
            <w:r w:rsidRPr="008E461A">
              <w:rPr>
                <w:rFonts w:ascii="Arial" w:hAnsi="Arial" w:cs="Arial"/>
              </w:rPr>
              <w:t>22/07/2021</w:t>
            </w:r>
          </w:p>
        </w:tc>
      </w:tr>
    </w:tbl>
    <w:p w:rsidR="00150B70" w:rsidRDefault="00150B70" w:rsidP="00150B70">
      <w:pPr>
        <w:spacing w:after="0"/>
        <w:jc w:val="center"/>
      </w:pPr>
    </w:p>
    <w:p w:rsidR="006153BD" w:rsidRDefault="006153BD">
      <w:pPr>
        <w:spacing w:after="5"/>
        <w:ind w:left="-2" w:hanging="10"/>
      </w:pPr>
    </w:p>
    <w:sectPr w:rsidR="006153BD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043307"/>
    <w:rsid w:val="000D08FE"/>
    <w:rsid w:val="000D1CD2"/>
    <w:rsid w:val="000E7FFA"/>
    <w:rsid w:val="001419D5"/>
    <w:rsid w:val="00150B70"/>
    <w:rsid w:val="00202481"/>
    <w:rsid w:val="00254EC7"/>
    <w:rsid w:val="002956EA"/>
    <w:rsid w:val="00304CB7"/>
    <w:rsid w:val="003373A7"/>
    <w:rsid w:val="0039513B"/>
    <w:rsid w:val="003B1875"/>
    <w:rsid w:val="003D40D6"/>
    <w:rsid w:val="003E6E70"/>
    <w:rsid w:val="00532C2C"/>
    <w:rsid w:val="005E671D"/>
    <w:rsid w:val="006153BD"/>
    <w:rsid w:val="00642E59"/>
    <w:rsid w:val="006473C2"/>
    <w:rsid w:val="00687BE1"/>
    <w:rsid w:val="006A1ECA"/>
    <w:rsid w:val="00740FCD"/>
    <w:rsid w:val="00755D0E"/>
    <w:rsid w:val="0076114F"/>
    <w:rsid w:val="008C723F"/>
    <w:rsid w:val="008C7847"/>
    <w:rsid w:val="008E461A"/>
    <w:rsid w:val="00904F59"/>
    <w:rsid w:val="00962BF3"/>
    <w:rsid w:val="009B2AE9"/>
    <w:rsid w:val="009D2C14"/>
    <w:rsid w:val="00A60BDB"/>
    <w:rsid w:val="00B814F4"/>
    <w:rsid w:val="00BE1453"/>
    <w:rsid w:val="00BE3725"/>
    <w:rsid w:val="00C355D6"/>
    <w:rsid w:val="00C80171"/>
    <w:rsid w:val="00CA596B"/>
    <w:rsid w:val="00CA6319"/>
    <w:rsid w:val="00CF16FB"/>
    <w:rsid w:val="00E115AA"/>
    <w:rsid w:val="00E91CCF"/>
    <w:rsid w:val="00EB2CA3"/>
    <w:rsid w:val="00EF6C54"/>
    <w:rsid w:val="00F42907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1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1C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wokingham.gov.uk" TargetMode="External"/><Relationship Id="rId4" Type="http://schemas.openxmlformats.org/officeDocument/2006/relationships/hyperlink" Target="mailto:licensing@wok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dcterms:created xsi:type="dcterms:W3CDTF">2021-06-28T08:45:00Z</dcterms:created>
  <dcterms:modified xsi:type="dcterms:W3CDTF">2021-06-28T08:45:00Z</dcterms:modified>
</cp:coreProperties>
</file>