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129"/>
        <w:gridCol w:w="1985"/>
        <w:gridCol w:w="1276"/>
        <w:gridCol w:w="2268"/>
        <w:gridCol w:w="1275"/>
        <w:gridCol w:w="2457"/>
        <w:gridCol w:w="3558"/>
      </w:tblGrid>
      <w:tr w:rsidR="00AF67D7" w:rsidTr="00D62217">
        <w:tc>
          <w:tcPr>
            <w:tcW w:w="7933" w:type="dxa"/>
            <w:gridSpan w:val="5"/>
            <w:tcBorders>
              <w:right w:val="nil"/>
            </w:tcBorders>
          </w:tcPr>
          <w:p w:rsidR="00AF67D7" w:rsidRDefault="00882594" w:rsidP="002E6BCE">
            <w:bookmarkStart w:id="0" w:name="_GoBack"/>
            <w:bookmarkEnd w:id="0"/>
            <w:r>
              <w:rPr>
                <w:noProof/>
                <w:lang w:eastAsia="en-GB"/>
              </w:rPr>
              <w:drawing>
                <wp:anchor distT="0" distB="0" distL="114300" distR="114300" simplePos="0" relativeHeight="251659264" behindDoc="1" locked="0" layoutInCell="1" allowOverlap="1" wp14:anchorId="37088D0E" wp14:editId="5E182E89">
                  <wp:simplePos x="0" y="0"/>
                  <wp:positionH relativeFrom="column">
                    <wp:posOffset>-5851</wp:posOffset>
                  </wp:positionH>
                  <wp:positionV relativeFrom="paragraph">
                    <wp:posOffset>2334</wp:posOffset>
                  </wp:positionV>
                  <wp:extent cx="1210962" cy="746637"/>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478" cy="7562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5" w:type="dxa"/>
            <w:gridSpan w:val="2"/>
            <w:tcBorders>
              <w:left w:val="nil"/>
            </w:tcBorders>
          </w:tcPr>
          <w:p w:rsidR="00AF67D7" w:rsidRDefault="00F37C1E">
            <w:r w:rsidRPr="007F1DF1">
              <w:rPr>
                <w:rFonts w:ascii="Calibri" w:eastAsia="Calibri" w:hAnsi="Calibri" w:cs="Calibri"/>
                <w:noProof/>
                <w:sz w:val="22"/>
                <w:szCs w:val="22"/>
                <w:lang w:eastAsia="en-GB"/>
              </w:rPr>
              <w:drawing>
                <wp:inline distT="0" distB="0" distL="0" distR="0" wp14:anchorId="3FF842EC" wp14:editId="322C1BB2">
                  <wp:extent cx="3174760" cy="826668"/>
                  <wp:effectExtent l="0" t="0" r="6985" b="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22331" cy="839055"/>
                          </a:xfrm>
                          <a:prstGeom prst="rect">
                            <a:avLst/>
                          </a:prstGeom>
                          <a:noFill/>
                          <a:ln>
                            <a:noFill/>
                          </a:ln>
                        </pic:spPr>
                      </pic:pic>
                    </a:graphicData>
                  </a:graphic>
                </wp:inline>
              </w:drawing>
            </w:r>
          </w:p>
        </w:tc>
      </w:tr>
      <w:tr w:rsidR="002E6BCE" w:rsidTr="003302C7">
        <w:tc>
          <w:tcPr>
            <w:tcW w:w="13948" w:type="dxa"/>
            <w:gridSpan w:val="7"/>
          </w:tcPr>
          <w:p w:rsidR="002E6BCE" w:rsidRPr="0014729E" w:rsidRDefault="00882594" w:rsidP="006D0931">
            <w:pPr>
              <w:jc w:val="center"/>
              <w:rPr>
                <w:b/>
                <w:sz w:val="20"/>
                <w:szCs w:val="20"/>
              </w:rPr>
            </w:pPr>
            <w:r w:rsidRPr="0014729E">
              <w:rPr>
                <w:b/>
                <w:sz w:val="20"/>
                <w:szCs w:val="20"/>
              </w:rPr>
              <w:t>WEST BERKS</w:t>
            </w:r>
            <w:r w:rsidR="00052AE4">
              <w:rPr>
                <w:b/>
                <w:sz w:val="20"/>
                <w:szCs w:val="20"/>
              </w:rPr>
              <w:t>H</w:t>
            </w:r>
            <w:r w:rsidRPr="0014729E">
              <w:rPr>
                <w:b/>
                <w:sz w:val="20"/>
                <w:szCs w:val="20"/>
              </w:rPr>
              <w:t xml:space="preserve">IRE </w:t>
            </w:r>
            <w:r w:rsidR="006D0931" w:rsidRPr="0014729E">
              <w:rPr>
                <w:b/>
                <w:sz w:val="20"/>
                <w:szCs w:val="20"/>
              </w:rPr>
              <w:t xml:space="preserve">COUNCIL HACKNEY CARRIAGE </w:t>
            </w:r>
            <w:r w:rsidR="002E6BCE" w:rsidRPr="0014729E">
              <w:rPr>
                <w:b/>
                <w:sz w:val="20"/>
                <w:szCs w:val="20"/>
              </w:rPr>
              <w:t xml:space="preserve">FARE CHART effective </w:t>
            </w:r>
            <w:r w:rsidR="0014729E" w:rsidRPr="0014729E">
              <w:rPr>
                <w:b/>
                <w:sz w:val="20"/>
                <w:szCs w:val="20"/>
              </w:rPr>
              <w:t>(TBC)</w:t>
            </w:r>
          </w:p>
          <w:p w:rsidR="0014729E" w:rsidRPr="002E6BCE" w:rsidRDefault="002E6BCE" w:rsidP="0014145B">
            <w:pPr>
              <w:jc w:val="center"/>
              <w:rPr>
                <w:b/>
              </w:rPr>
            </w:pPr>
            <w:r w:rsidRPr="0014729E">
              <w:rPr>
                <w:b/>
                <w:sz w:val="20"/>
                <w:szCs w:val="20"/>
              </w:rPr>
              <w:t>FARES FOR DISTANCE AND TIME</w:t>
            </w:r>
          </w:p>
        </w:tc>
      </w:tr>
      <w:tr w:rsidR="002E6BCE" w:rsidTr="003302C7">
        <w:tc>
          <w:tcPr>
            <w:tcW w:w="13948" w:type="dxa"/>
            <w:gridSpan w:val="7"/>
          </w:tcPr>
          <w:p w:rsidR="002E6BCE" w:rsidRDefault="002E6BCE" w:rsidP="002E6BCE">
            <w:pPr>
              <w:jc w:val="center"/>
            </w:pPr>
            <w:r>
              <w:t>All distance and time charges include uncompleted parts thereof</w:t>
            </w:r>
          </w:p>
        </w:tc>
      </w:tr>
      <w:tr w:rsidR="003302C7" w:rsidTr="000A276A">
        <w:tc>
          <w:tcPr>
            <w:tcW w:w="3114" w:type="dxa"/>
            <w:gridSpan w:val="2"/>
            <w:shd w:val="clear" w:color="auto" w:fill="BFBFBF" w:themeFill="background1" w:themeFillShade="BF"/>
          </w:tcPr>
          <w:p w:rsidR="003302C7" w:rsidRPr="003302C7" w:rsidRDefault="003302C7" w:rsidP="003302C7">
            <w:pPr>
              <w:jc w:val="center"/>
              <w:rPr>
                <w:b/>
              </w:rPr>
            </w:pPr>
            <w:r w:rsidRPr="003302C7">
              <w:rPr>
                <w:b/>
              </w:rPr>
              <w:t>Tariff 1</w:t>
            </w:r>
          </w:p>
        </w:tc>
        <w:tc>
          <w:tcPr>
            <w:tcW w:w="3544" w:type="dxa"/>
            <w:gridSpan w:val="2"/>
            <w:shd w:val="clear" w:color="auto" w:fill="BFBFBF" w:themeFill="background1" w:themeFillShade="BF"/>
          </w:tcPr>
          <w:p w:rsidR="003302C7" w:rsidRPr="003302C7" w:rsidRDefault="003302C7" w:rsidP="003302C7">
            <w:pPr>
              <w:jc w:val="center"/>
              <w:rPr>
                <w:b/>
              </w:rPr>
            </w:pPr>
            <w:r w:rsidRPr="003302C7">
              <w:rPr>
                <w:b/>
              </w:rPr>
              <w:t>Tariff 2</w:t>
            </w:r>
          </w:p>
        </w:tc>
        <w:tc>
          <w:tcPr>
            <w:tcW w:w="3732" w:type="dxa"/>
            <w:gridSpan w:val="2"/>
            <w:shd w:val="clear" w:color="auto" w:fill="BFBFBF" w:themeFill="background1" w:themeFillShade="BF"/>
          </w:tcPr>
          <w:p w:rsidR="003302C7" w:rsidRPr="003302C7" w:rsidRDefault="003302C7" w:rsidP="003302C7">
            <w:pPr>
              <w:jc w:val="center"/>
              <w:rPr>
                <w:b/>
              </w:rPr>
            </w:pPr>
            <w:r w:rsidRPr="003302C7">
              <w:rPr>
                <w:b/>
              </w:rPr>
              <w:t>Tariff 3</w:t>
            </w:r>
          </w:p>
        </w:tc>
        <w:tc>
          <w:tcPr>
            <w:tcW w:w="3558" w:type="dxa"/>
            <w:shd w:val="clear" w:color="auto" w:fill="BFBFBF" w:themeFill="background1" w:themeFillShade="BF"/>
          </w:tcPr>
          <w:p w:rsidR="003302C7" w:rsidRPr="00751F7E" w:rsidRDefault="003302C7">
            <w:pPr>
              <w:rPr>
                <w:b/>
              </w:rPr>
            </w:pPr>
            <w:r w:rsidRPr="00751F7E">
              <w:rPr>
                <w:b/>
              </w:rPr>
              <w:t>Extra Charges</w:t>
            </w:r>
          </w:p>
        </w:tc>
      </w:tr>
      <w:tr w:rsidR="0012457A" w:rsidRPr="006D0931" w:rsidTr="00D12CE8">
        <w:tc>
          <w:tcPr>
            <w:tcW w:w="3114" w:type="dxa"/>
            <w:gridSpan w:val="2"/>
          </w:tcPr>
          <w:p w:rsidR="0012457A" w:rsidRPr="00052AE4" w:rsidRDefault="0012457A" w:rsidP="000A276A">
            <w:pPr>
              <w:rPr>
                <w:sz w:val="20"/>
                <w:szCs w:val="20"/>
              </w:rPr>
            </w:pPr>
            <w:r w:rsidRPr="00052AE4">
              <w:rPr>
                <w:sz w:val="20"/>
                <w:szCs w:val="20"/>
              </w:rPr>
              <w:t>Rate for the first mile: £5.00</w:t>
            </w:r>
          </w:p>
        </w:tc>
        <w:tc>
          <w:tcPr>
            <w:tcW w:w="3544" w:type="dxa"/>
            <w:gridSpan w:val="2"/>
          </w:tcPr>
          <w:p w:rsidR="0012457A" w:rsidRPr="00052AE4" w:rsidRDefault="0012457A" w:rsidP="000A276A">
            <w:pPr>
              <w:rPr>
                <w:sz w:val="20"/>
                <w:szCs w:val="20"/>
              </w:rPr>
            </w:pPr>
            <w:r w:rsidRPr="00052AE4">
              <w:rPr>
                <w:sz w:val="20"/>
                <w:szCs w:val="20"/>
              </w:rPr>
              <w:t>Rate for the first mile: £7.50</w:t>
            </w:r>
          </w:p>
        </w:tc>
        <w:tc>
          <w:tcPr>
            <w:tcW w:w="3732" w:type="dxa"/>
            <w:gridSpan w:val="2"/>
          </w:tcPr>
          <w:p w:rsidR="0012457A" w:rsidRPr="00052AE4" w:rsidRDefault="0012457A" w:rsidP="000A276A">
            <w:pPr>
              <w:tabs>
                <w:tab w:val="right" w:pos="3516"/>
              </w:tabs>
              <w:rPr>
                <w:sz w:val="20"/>
                <w:szCs w:val="20"/>
              </w:rPr>
            </w:pPr>
            <w:r w:rsidRPr="00052AE4">
              <w:rPr>
                <w:sz w:val="20"/>
                <w:szCs w:val="20"/>
              </w:rPr>
              <w:t>Rate for the first mile: £10.00</w:t>
            </w:r>
            <w:r w:rsidRPr="00052AE4">
              <w:rPr>
                <w:sz w:val="20"/>
                <w:szCs w:val="20"/>
              </w:rPr>
              <w:tab/>
            </w:r>
          </w:p>
        </w:tc>
        <w:tc>
          <w:tcPr>
            <w:tcW w:w="3558" w:type="dxa"/>
            <w:vMerge w:val="restart"/>
          </w:tcPr>
          <w:p w:rsidR="0012457A" w:rsidRPr="00521AFA" w:rsidRDefault="0012457A" w:rsidP="000A276A">
            <w:r w:rsidRPr="00521AFA">
              <w:t>Where there are five or more passengers in a vehicle the meter will be switched to Tariff 2</w:t>
            </w:r>
          </w:p>
        </w:tc>
      </w:tr>
      <w:tr w:rsidR="0012457A" w:rsidTr="008C0FB2">
        <w:tc>
          <w:tcPr>
            <w:tcW w:w="3114" w:type="dxa"/>
            <w:gridSpan w:val="2"/>
          </w:tcPr>
          <w:p w:rsidR="0012457A" w:rsidRPr="00052AE4" w:rsidRDefault="0012457A" w:rsidP="000A276A">
            <w:pPr>
              <w:rPr>
                <w:sz w:val="20"/>
                <w:szCs w:val="20"/>
              </w:rPr>
            </w:pPr>
            <w:r w:rsidRPr="00052AE4">
              <w:rPr>
                <w:sz w:val="20"/>
                <w:szCs w:val="20"/>
              </w:rPr>
              <w:t>Rate for each mile thereafter: £2.40</w:t>
            </w:r>
          </w:p>
        </w:tc>
        <w:tc>
          <w:tcPr>
            <w:tcW w:w="3544" w:type="dxa"/>
            <w:gridSpan w:val="2"/>
          </w:tcPr>
          <w:p w:rsidR="0012457A" w:rsidRPr="00052AE4" w:rsidRDefault="0012457A" w:rsidP="000A276A">
            <w:pPr>
              <w:rPr>
                <w:sz w:val="20"/>
                <w:szCs w:val="20"/>
              </w:rPr>
            </w:pPr>
            <w:r w:rsidRPr="00052AE4">
              <w:rPr>
                <w:sz w:val="20"/>
                <w:szCs w:val="20"/>
              </w:rPr>
              <w:t>Rate for each mile thereafter: £3.60</w:t>
            </w:r>
          </w:p>
        </w:tc>
        <w:tc>
          <w:tcPr>
            <w:tcW w:w="3732" w:type="dxa"/>
            <w:gridSpan w:val="2"/>
          </w:tcPr>
          <w:p w:rsidR="0012457A" w:rsidRPr="00052AE4" w:rsidRDefault="0012457A" w:rsidP="000A276A">
            <w:pPr>
              <w:rPr>
                <w:sz w:val="20"/>
                <w:szCs w:val="20"/>
              </w:rPr>
            </w:pPr>
            <w:r w:rsidRPr="00052AE4">
              <w:rPr>
                <w:sz w:val="20"/>
                <w:szCs w:val="20"/>
              </w:rPr>
              <w:t>Rate for each mile thereafter: £4.80</w:t>
            </w:r>
          </w:p>
        </w:tc>
        <w:tc>
          <w:tcPr>
            <w:tcW w:w="3558" w:type="dxa"/>
            <w:vMerge/>
          </w:tcPr>
          <w:p w:rsidR="0012457A" w:rsidRPr="00751F7E" w:rsidRDefault="0012457A" w:rsidP="000A276A">
            <w:pPr>
              <w:pStyle w:val="Header"/>
              <w:tabs>
                <w:tab w:val="clear" w:pos="4153"/>
                <w:tab w:val="clear" w:pos="8306"/>
                <w:tab w:val="right" w:pos="10065"/>
              </w:tabs>
            </w:pPr>
          </w:p>
        </w:tc>
      </w:tr>
      <w:tr w:rsidR="00751F7E" w:rsidTr="000A276A">
        <w:trPr>
          <w:trHeight w:val="429"/>
        </w:trPr>
        <w:tc>
          <w:tcPr>
            <w:tcW w:w="3114" w:type="dxa"/>
            <w:gridSpan w:val="2"/>
          </w:tcPr>
          <w:p w:rsidR="00751F7E" w:rsidRPr="0014145B" w:rsidRDefault="00751F7E" w:rsidP="00882594">
            <w:pPr>
              <w:rPr>
                <w:sz w:val="20"/>
                <w:szCs w:val="20"/>
              </w:rPr>
            </w:pPr>
            <w:r w:rsidRPr="0014145B">
              <w:rPr>
                <w:sz w:val="20"/>
                <w:szCs w:val="20"/>
              </w:rPr>
              <w:t xml:space="preserve">Hiring </w:t>
            </w:r>
            <w:r w:rsidR="00882594" w:rsidRPr="0014145B">
              <w:rPr>
                <w:sz w:val="20"/>
                <w:szCs w:val="20"/>
              </w:rPr>
              <w:t>when j</w:t>
            </w:r>
            <w:r w:rsidRPr="0014145B">
              <w:rPr>
                <w:sz w:val="20"/>
                <w:szCs w:val="20"/>
              </w:rPr>
              <w:t>ourney commences</w:t>
            </w:r>
            <w:r w:rsidR="0014145B">
              <w:rPr>
                <w:sz w:val="20"/>
                <w:szCs w:val="20"/>
              </w:rPr>
              <w:t xml:space="preserve"> between</w:t>
            </w:r>
            <w:r w:rsidRPr="0014145B">
              <w:rPr>
                <w:sz w:val="20"/>
                <w:szCs w:val="20"/>
              </w:rPr>
              <w:t xml:space="preserve"> </w:t>
            </w:r>
            <w:r w:rsidR="0014145B" w:rsidRPr="0014145B">
              <w:rPr>
                <w:rFonts w:ascii="Arial" w:hAnsi="Arial" w:cs="Arial"/>
                <w:sz w:val="20"/>
                <w:szCs w:val="20"/>
              </w:rPr>
              <w:t>06:00 and 22:00 Monday to Saturday (excludes bank holidays and public holidays, Boxing Day and Christmas Day)</w:t>
            </w:r>
          </w:p>
        </w:tc>
        <w:tc>
          <w:tcPr>
            <w:tcW w:w="3544" w:type="dxa"/>
            <w:gridSpan w:val="2"/>
          </w:tcPr>
          <w:p w:rsidR="00751F7E" w:rsidRPr="0014145B" w:rsidRDefault="00751F7E" w:rsidP="0014145B">
            <w:pPr>
              <w:rPr>
                <w:sz w:val="20"/>
                <w:szCs w:val="20"/>
              </w:rPr>
            </w:pPr>
            <w:r w:rsidRPr="0014145B">
              <w:rPr>
                <w:rFonts w:eastAsiaTheme="minorEastAsia"/>
                <w:sz w:val="20"/>
                <w:szCs w:val="20"/>
                <w:lang w:eastAsia="en-GB"/>
              </w:rPr>
              <w:t xml:space="preserve">Hiring when journey commences </w:t>
            </w:r>
            <w:r w:rsidRPr="0014145B">
              <w:rPr>
                <w:rFonts w:ascii="Arial" w:eastAsiaTheme="minorEastAsia" w:hAnsi="Arial" w:cs="Arial"/>
                <w:sz w:val="20"/>
                <w:szCs w:val="20"/>
                <w:lang w:eastAsia="en-GB"/>
              </w:rPr>
              <w:t xml:space="preserve">between </w:t>
            </w:r>
            <w:r w:rsidR="0014145B" w:rsidRPr="0014145B">
              <w:rPr>
                <w:rFonts w:ascii="Arial" w:hAnsi="Arial" w:cs="Arial"/>
                <w:sz w:val="20"/>
                <w:szCs w:val="20"/>
              </w:rPr>
              <w:t xml:space="preserve">22:00 and 06:00 Monday to Saturday, on Sundays, bank holidays and public holidays, between 06:00 and midnight on Boxing Day, between 19:00 and midnight on Christmas Eve and New Year’s Eve </w:t>
            </w:r>
          </w:p>
        </w:tc>
        <w:tc>
          <w:tcPr>
            <w:tcW w:w="3732" w:type="dxa"/>
            <w:gridSpan w:val="2"/>
          </w:tcPr>
          <w:p w:rsidR="00751F7E" w:rsidRPr="003302C7" w:rsidRDefault="00751F7E" w:rsidP="0014145B">
            <w:pPr>
              <w:rPr>
                <w:sz w:val="20"/>
                <w:szCs w:val="20"/>
              </w:rPr>
            </w:pPr>
            <w:r w:rsidRPr="003302C7">
              <w:rPr>
                <w:rFonts w:eastAsiaTheme="minorEastAsia"/>
                <w:sz w:val="20"/>
                <w:szCs w:val="20"/>
                <w:lang w:eastAsia="en-GB"/>
              </w:rPr>
              <w:t xml:space="preserve">Hiring when the journey commences </w:t>
            </w:r>
            <w:r w:rsidRPr="003302C7">
              <w:rPr>
                <w:rFonts w:ascii="Arial" w:eastAsiaTheme="minorEastAsia" w:hAnsi="Arial" w:cs="Arial"/>
                <w:sz w:val="20"/>
                <w:szCs w:val="20"/>
                <w:lang w:eastAsia="en-GB"/>
              </w:rPr>
              <w:t>on</w:t>
            </w:r>
            <w:r w:rsidR="0014145B" w:rsidRPr="00D276CE">
              <w:rPr>
                <w:rFonts w:ascii="Arial" w:hAnsi="Arial" w:cs="Arial"/>
              </w:rPr>
              <w:t xml:space="preserve"> </w:t>
            </w:r>
            <w:r w:rsidR="0014145B" w:rsidRPr="0014145B">
              <w:rPr>
                <w:rFonts w:ascii="Arial" w:hAnsi="Arial" w:cs="Arial"/>
                <w:sz w:val="20"/>
                <w:szCs w:val="20"/>
              </w:rPr>
              <w:t>Christmas Day until 06:00 on Boxing Day and journeys commencing between midnight and 06:00 on New Year’s Day.</w:t>
            </w:r>
            <w:r w:rsidRPr="003302C7">
              <w:rPr>
                <w:rFonts w:ascii="Arial" w:eastAsiaTheme="minorEastAsia" w:hAnsi="Arial" w:cs="Arial"/>
                <w:sz w:val="20"/>
                <w:szCs w:val="20"/>
                <w:lang w:eastAsia="en-GB"/>
              </w:rPr>
              <w:t xml:space="preserve"> </w:t>
            </w:r>
          </w:p>
        </w:tc>
        <w:tc>
          <w:tcPr>
            <w:tcW w:w="3558" w:type="dxa"/>
            <w:shd w:val="clear" w:color="auto" w:fill="BFBFBF" w:themeFill="background1" w:themeFillShade="BF"/>
          </w:tcPr>
          <w:p w:rsidR="00751F7E" w:rsidRDefault="000A276A" w:rsidP="00882594">
            <w:r>
              <w:t>Taxi Plate Number:</w:t>
            </w:r>
          </w:p>
          <w:p w:rsidR="000A276A" w:rsidRDefault="000A276A" w:rsidP="00882594"/>
        </w:tc>
      </w:tr>
      <w:tr w:rsidR="00BD4031" w:rsidTr="00D62217">
        <w:tc>
          <w:tcPr>
            <w:tcW w:w="1129" w:type="dxa"/>
          </w:tcPr>
          <w:p w:rsidR="00BD4031" w:rsidRPr="00D62217" w:rsidRDefault="00BD4031" w:rsidP="00BD4031">
            <w:pPr>
              <w:spacing w:before="360"/>
              <w:rPr>
                <w:b/>
                <w:sz w:val="28"/>
                <w:szCs w:val="28"/>
              </w:rPr>
            </w:pPr>
            <w:r>
              <w:rPr>
                <w:b/>
                <w:sz w:val="28"/>
                <w:szCs w:val="28"/>
              </w:rPr>
              <w:t>£3.00</w:t>
            </w:r>
          </w:p>
        </w:tc>
        <w:tc>
          <w:tcPr>
            <w:tcW w:w="1985" w:type="dxa"/>
          </w:tcPr>
          <w:p w:rsidR="00BD4031" w:rsidRPr="00D62217" w:rsidRDefault="00BD4031" w:rsidP="00BD4031">
            <w:pPr>
              <w:rPr>
                <w:sz w:val="20"/>
                <w:szCs w:val="20"/>
              </w:rPr>
            </w:pPr>
            <w:r w:rsidRPr="00D62217">
              <w:rPr>
                <w:sz w:val="20"/>
                <w:szCs w:val="20"/>
              </w:rPr>
              <w:t>Maximum Charge up to</w:t>
            </w:r>
            <w:r>
              <w:rPr>
                <w:sz w:val="20"/>
                <w:szCs w:val="20"/>
              </w:rPr>
              <w:t xml:space="preserve"> 352</w:t>
            </w:r>
            <w:r w:rsidRPr="00D62217">
              <w:rPr>
                <w:sz w:val="20"/>
                <w:szCs w:val="20"/>
              </w:rPr>
              <w:t xml:space="preserve"> </w:t>
            </w:r>
            <w:r>
              <w:rPr>
                <w:sz w:val="20"/>
                <w:szCs w:val="20"/>
              </w:rPr>
              <w:t>y</w:t>
            </w:r>
            <w:r w:rsidRPr="00D62217">
              <w:rPr>
                <w:sz w:val="20"/>
                <w:szCs w:val="20"/>
              </w:rPr>
              <w:t xml:space="preserve">ards </w:t>
            </w:r>
            <w:r>
              <w:rPr>
                <w:sz w:val="20"/>
                <w:szCs w:val="20"/>
              </w:rPr>
              <w:t xml:space="preserve">or 69.1 </w:t>
            </w:r>
            <w:r w:rsidRPr="00D62217">
              <w:rPr>
                <w:rFonts w:ascii="Arial" w:hAnsi="Arial" w:cs="Arial"/>
                <w:sz w:val="20"/>
                <w:szCs w:val="20"/>
              </w:rPr>
              <w:t>seconds</w:t>
            </w:r>
            <w:r w:rsidRPr="00D62217">
              <w:rPr>
                <w:sz w:val="20"/>
                <w:szCs w:val="20"/>
              </w:rPr>
              <w:t xml:space="preserve"> or a combination of time and distance</w:t>
            </w:r>
          </w:p>
        </w:tc>
        <w:tc>
          <w:tcPr>
            <w:tcW w:w="1276" w:type="dxa"/>
          </w:tcPr>
          <w:p w:rsidR="00BD4031" w:rsidRPr="00D62217" w:rsidRDefault="00BD4031" w:rsidP="00BD4031">
            <w:pPr>
              <w:spacing w:before="360"/>
              <w:rPr>
                <w:b/>
                <w:sz w:val="28"/>
                <w:szCs w:val="28"/>
              </w:rPr>
            </w:pPr>
            <w:r w:rsidRPr="00D62217">
              <w:rPr>
                <w:b/>
                <w:sz w:val="28"/>
                <w:szCs w:val="28"/>
              </w:rPr>
              <w:t>£</w:t>
            </w:r>
            <w:r>
              <w:rPr>
                <w:b/>
                <w:sz w:val="28"/>
                <w:szCs w:val="28"/>
              </w:rPr>
              <w:t>4.50</w:t>
            </w:r>
          </w:p>
        </w:tc>
        <w:tc>
          <w:tcPr>
            <w:tcW w:w="2268" w:type="dxa"/>
          </w:tcPr>
          <w:p w:rsidR="00BD4031" w:rsidRPr="00D62217" w:rsidRDefault="00BD4031" w:rsidP="00BD4031">
            <w:pPr>
              <w:rPr>
                <w:sz w:val="20"/>
                <w:szCs w:val="20"/>
              </w:rPr>
            </w:pPr>
            <w:r w:rsidRPr="00D62217">
              <w:rPr>
                <w:sz w:val="20"/>
                <w:szCs w:val="20"/>
              </w:rPr>
              <w:t>Maximum Charge up to</w:t>
            </w:r>
            <w:r>
              <w:rPr>
                <w:sz w:val="20"/>
                <w:szCs w:val="20"/>
              </w:rPr>
              <w:t xml:space="preserve"> 352</w:t>
            </w:r>
            <w:r w:rsidRPr="00D62217">
              <w:rPr>
                <w:sz w:val="20"/>
                <w:szCs w:val="20"/>
              </w:rPr>
              <w:t xml:space="preserve"> </w:t>
            </w:r>
            <w:r>
              <w:rPr>
                <w:sz w:val="20"/>
                <w:szCs w:val="20"/>
              </w:rPr>
              <w:t>y</w:t>
            </w:r>
            <w:r w:rsidRPr="00D62217">
              <w:rPr>
                <w:sz w:val="20"/>
                <w:szCs w:val="20"/>
              </w:rPr>
              <w:t xml:space="preserve">ards </w:t>
            </w:r>
            <w:r>
              <w:rPr>
                <w:sz w:val="20"/>
                <w:szCs w:val="20"/>
              </w:rPr>
              <w:t xml:space="preserve">or 69.1 </w:t>
            </w:r>
            <w:r w:rsidRPr="00D62217">
              <w:rPr>
                <w:rFonts w:ascii="Arial" w:hAnsi="Arial" w:cs="Arial"/>
                <w:sz w:val="20"/>
                <w:szCs w:val="20"/>
              </w:rPr>
              <w:t>seconds</w:t>
            </w:r>
            <w:r w:rsidRPr="00D62217">
              <w:rPr>
                <w:sz w:val="20"/>
                <w:szCs w:val="20"/>
              </w:rPr>
              <w:t xml:space="preserve"> or a combination of time and distance</w:t>
            </w:r>
          </w:p>
        </w:tc>
        <w:tc>
          <w:tcPr>
            <w:tcW w:w="1275" w:type="dxa"/>
          </w:tcPr>
          <w:p w:rsidR="00BD4031" w:rsidRPr="00D62217" w:rsidRDefault="00BD4031" w:rsidP="00BD4031">
            <w:pPr>
              <w:spacing w:before="360"/>
              <w:rPr>
                <w:b/>
                <w:sz w:val="28"/>
                <w:szCs w:val="28"/>
              </w:rPr>
            </w:pPr>
            <w:r>
              <w:rPr>
                <w:b/>
                <w:sz w:val="28"/>
                <w:szCs w:val="28"/>
              </w:rPr>
              <w:t>£6.00</w:t>
            </w:r>
          </w:p>
        </w:tc>
        <w:tc>
          <w:tcPr>
            <w:tcW w:w="2457" w:type="dxa"/>
          </w:tcPr>
          <w:p w:rsidR="00BD4031" w:rsidRPr="00D62217" w:rsidRDefault="00BD4031" w:rsidP="00BD4031">
            <w:pPr>
              <w:rPr>
                <w:sz w:val="20"/>
                <w:szCs w:val="20"/>
              </w:rPr>
            </w:pPr>
            <w:r w:rsidRPr="00D62217">
              <w:rPr>
                <w:sz w:val="20"/>
                <w:szCs w:val="20"/>
              </w:rPr>
              <w:t>Maximum Charge up to</w:t>
            </w:r>
            <w:r>
              <w:rPr>
                <w:sz w:val="20"/>
                <w:szCs w:val="20"/>
              </w:rPr>
              <w:t xml:space="preserve"> 352</w:t>
            </w:r>
            <w:r w:rsidRPr="00D62217">
              <w:rPr>
                <w:sz w:val="20"/>
                <w:szCs w:val="20"/>
              </w:rPr>
              <w:t xml:space="preserve"> </w:t>
            </w:r>
            <w:r>
              <w:rPr>
                <w:sz w:val="20"/>
                <w:szCs w:val="20"/>
              </w:rPr>
              <w:t>y</w:t>
            </w:r>
            <w:r w:rsidRPr="00D62217">
              <w:rPr>
                <w:sz w:val="20"/>
                <w:szCs w:val="20"/>
              </w:rPr>
              <w:t xml:space="preserve">ards </w:t>
            </w:r>
            <w:r>
              <w:rPr>
                <w:sz w:val="20"/>
                <w:szCs w:val="20"/>
              </w:rPr>
              <w:t xml:space="preserve">or 69.1 </w:t>
            </w:r>
            <w:r w:rsidRPr="00D62217">
              <w:rPr>
                <w:rFonts w:ascii="Arial" w:hAnsi="Arial" w:cs="Arial"/>
                <w:sz w:val="20"/>
                <w:szCs w:val="20"/>
              </w:rPr>
              <w:t>seconds</w:t>
            </w:r>
            <w:r w:rsidRPr="00D62217">
              <w:rPr>
                <w:sz w:val="20"/>
                <w:szCs w:val="20"/>
              </w:rPr>
              <w:t xml:space="preserve"> or a combination of time and distance</w:t>
            </w:r>
          </w:p>
        </w:tc>
        <w:tc>
          <w:tcPr>
            <w:tcW w:w="3558" w:type="dxa"/>
          </w:tcPr>
          <w:p w:rsidR="000A276A" w:rsidRDefault="000A276A" w:rsidP="00BD4031"/>
        </w:tc>
      </w:tr>
      <w:tr w:rsidR="00BD4031" w:rsidTr="00D62217">
        <w:tc>
          <w:tcPr>
            <w:tcW w:w="1129" w:type="dxa"/>
          </w:tcPr>
          <w:p w:rsidR="00BD4031" w:rsidRPr="00751F7E" w:rsidRDefault="00BD4031" w:rsidP="00BD4031">
            <w:pPr>
              <w:spacing w:before="360"/>
              <w:rPr>
                <w:b/>
                <w:sz w:val="28"/>
                <w:szCs w:val="28"/>
              </w:rPr>
            </w:pPr>
            <w:r w:rsidRPr="00751F7E">
              <w:rPr>
                <w:b/>
                <w:sz w:val="28"/>
                <w:szCs w:val="28"/>
              </w:rPr>
              <w:t>20p</w:t>
            </w:r>
          </w:p>
        </w:tc>
        <w:tc>
          <w:tcPr>
            <w:tcW w:w="1985" w:type="dxa"/>
          </w:tcPr>
          <w:p w:rsidR="00BD4031" w:rsidRPr="00D62217" w:rsidRDefault="00BD4031" w:rsidP="00BD4031">
            <w:pPr>
              <w:rPr>
                <w:sz w:val="20"/>
                <w:szCs w:val="20"/>
              </w:rPr>
            </w:pPr>
            <w:r w:rsidRPr="00D62217">
              <w:rPr>
                <w:sz w:val="20"/>
                <w:szCs w:val="20"/>
              </w:rPr>
              <w:t xml:space="preserve">For each subsequent </w:t>
            </w:r>
            <w:r>
              <w:rPr>
                <w:sz w:val="20"/>
                <w:szCs w:val="20"/>
              </w:rPr>
              <w:t>146.7</w:t>
            </w:r>
            <w:r w:rsidRPr="00D62217">
              <w:rPr>
                <w:sz w:val="20"/>
                <w:szCs w:val="20"/>
              </w:rPr>
              <w:t xml:space="preserve"> yards or every  </w:t>
            </w:r>
            <w:r>
              <w:rPr>
                <w:sz w:val="20"/>
                <w:szCs w:val="20"/>
              </w:rPr>
              <w:t xml:space="preserve">28.8 </w:t>
            </w:r>
            <w:r w:rsidRPr="00D62217">
              <w:rPr>
                <w:sz w:val="20"/>
                <w:szCs w:val="20"/>
              </w:rPr>
              <w:t>seconds</w:t>
            </w:r>
            <w:r>
              <w:rPr>
                <w:sz w:val="20"/>
                <w:szCs w:val="20"/>
              </w:rPr>
              <w:t xml:space="preserve"> </w:t>
            </w:r>
            <w:r w:rsidRPr="00D62217">
              <w:rPr>
                <w:sz w:val="20"/>
                <w:szCs w:val="20"/>
              </w:rPr>
              <w:t>or part thereof</w:t>
            </w:r>
          </w:p>
        </w:tc>
        <w:tc>
          <w:tcPr>
            <w:tcW w:w="1276" w:type="dxa"/>
          </w:tcPr>
          <w:p w:rsidR="00BD4031" w:rsidRPr="00751F7E" w:rsidRDefault="00BD4031" w:rsidP="00BD4031">
            <w:pPr>
              <w:spacing w:before="360"/>
              <w:rPr>
                <w:b/>
                <w:sz w:val="28"/>
                <w:szCs w:val="28"/>
              </w:rPr>
            </w:pPr>
            <w:r w:rsidRPr="00751F7E">
              <w:rPr>
                <w:b/>
                <w:sz w:val="28"/>
                <w:szCs w:val="28"/>
              </w:rPr>
              <w:t>30p</w:t>
            </w:r>
          </w:p>
        </w:tc>
        <w:tc>
          <w:tcPr>
            <w:tcW w:w="2268" w:type="dxa"/>
          </w:tcPr>
          <w:p w:rsidR="00BD4031" w:rsidRPr="00D62217" w:rsidRDefault="00BD4031" w:rsidP="00BD4031">
            <w:pPr>
              <w:rPr>
                <w:sz w:val="20"/>
                <w:szCs w:val="20"/>
              </w:rPr>
            </w:pPr>
            <w:r w:rsidRPr="00D62217">
              <w:rPr>
                <w:sz w:val="20"/>
                <w:szCs w:val="20"/>
              </w:rPr>
              <w:t xml:space="preserve">For each subsequent </w:t>
            </w:r>
            <w:r>
              <w:rPr>
                <w:sz w:val="20"/>
                <w:szCs w:val="20"/>
              </w:rPr>
              <w:t>146.7</w:t>
            </w:r>
            <w:r w:rsidRPr="00D62217">
              <w:rPr>
                <w:sz w:val="20"/>
                <w:szCs w:val="20"/>
              </w:rPr>
              <w:t xml:space="preserve"> yards or every  </w:t>
            </w:r>
            <w:r>
              <w:rPr>
                <w:sz w:val="20"/>
                <w:szCs w:val="20"/>
              </w:rPr>
              <w:t xml:space="preserve">28.8 </w:t>
            </w:r>
            <w:r w:rsidRPr="00D62217">
              <w:rPr>
                <w:sz w:val="20"/>
                <w:szCs w:val="20"/>
              </w:rPr>
              <w:t>seconds</w:t>
            </w:r>
            <w:r>
              <w:rPr>
                <w:sz w:val="20"/>
                <w:szCs w:val="20"/>
              </w:rPr>
              <w:t xml:space="preserve"> </w:t>
            </w:r>
            <w:r w:rsidRPr="00D62217">
              <w:rPr>
                <w:sz w:val="20"/>
                <w:szCs w:val="20"/>
              </w:rPr>
              <w:t>or part thereof</w:t>
            </w:r>
          </w:p>
        </w:tc>
        <w:tc>
          <w:tcPr>
            <w:tcW w:w="1275" w:type="dxa"/>
          </w:tcPr>
          <w:p w:rsidR="00BD4031" w:rsidRPr="00751F7E" w:rsidRDefault="00BD4031" w:rsidP="00BD4031">
            <w:pPr>
              <w:spacing w:before="360"/>
              <w:rPr>
                <w:b/>
                <w:sz w:val="28"/>
                <w:szCs w:val="28"/>
              </w:rPr>
            </w:pPr>
            <w:r w:rsidRPr="00751F7E">
              <w:rPr>
                <w:b/>
                <w:sz w:val="28"/>
                <w:szCs w:val="28"/>
              </w:rPr>
              <w:t>40p</w:t>
            </w:r>
          </w:p>
        </w:tc>
        <w:tc>
          <w:tcPr>
            <w:tcW w:w="2457" w:type="dxa"/>
          </w:tcPr>
          <w:p w:rsidR="00BD4031" w:rsidRPr="00D62217" w:rsidRDefault="00BD4031" w:rsidP="00BD4031">
            <w:pPr>
              <w:rPr>
                <w:sz w:val="20"/>
                <w:szCs w:val="20"/>
              </w:rPr>
            </w:pPr>
            <w:r w:rsidRPr="00D62217">
              <w:rPr>
                <w:sz w:val="20"/>
                <w:szCs w:val="20"/>
              </w:rPr>
              <w:t xml:space="preserve">For each subsequent </w:t>
            </w:r>
            <w:r>
              <w:rPr>
                <w:sz w:val="20"/>
                <w:szCs w:val="20"/>
              </w:rPr>
              <w:t>146.7</w:t>
            </w:r>
            <w:r w:rsidRPr="00D62217">
              <w:rPr>
                <w:sz w:val="20"/>
                <w:szCs w:val="20"/>
              </w:rPr>
              <w:t xml:space="preserve"> yards or every  </w:t>
            </w:r>
            <w:r>
              <w:rPr>
                <w:sz w:val="20"/>
                <w:szCs w:val="20"/>
              </w:rPr>
              <w:t xml:space="preserve">28.8 </w:t>
            </w:r>
            <w:r w:rsidRPr="00D62217">
              <w:rPr>
                <w:sz w:val="20"/>
                <w:szCs w:val="20"/>
              </w:rPr>
              <w:t>seconds</w:t>
            </w:r>
            <w:r>
              <w:rPr>
                <w:sz w:val="20"/>
                <w:szCs w:val="20"/>
              </w:rPr>
              <w:t xml:space="preserve"> </w:t>
            </w:r>
            <w:r w:rsidRPr="00D62217">
              <w:rPr>
                <w:sz w:val="20"/>
                <w:szCs w:val="20"/>
              </w:rPr>
              <w:t>or part thereof</w:t>
            </w:r>
          </w:p>
        </w:tc>
        <w:tc>
          <w:tcPr>
            <w:tcW w:w="3558" w:type="dxa"/>
          </w:tcPr>
          <w:p w:rsidR="000A276A" w:rsidRDefault="000A276A" w:rsidP="000A276A">
            <w:r>
              <w:t>Waiting Time Per Hour</w:t>
            </w:r>
          </w:p>
          <w:p w:rsidR="000A276A" w:rsidRDefault="000A276A" w:rsidP="000A276A">
            <w:r>
              <w:t xml:space="preserve">T1 = </w:t>
            </w:r>
            <w:r w:rsidR="00FB1806">
              <w:t>25.</w:t>
            </w:r>
            <w:r>
              <w:t>00</w:t>
            </w:r>
          </w:p>
          <w:p w:rsidR="000A276A" w:rsidRDefault="000A276A" w:rsidP="000A276A">
            <w:r>
              <w:t>T2 =</w:t>
            </w:r>
            <w:r w:rsidR="00FB1806">
              <w:t xml:space="preserve"> 37.</w:t>
            </w:r>
            <w:r>
              <w:t>50</w:t>
            </w:r>
          </w:p>
          <w:p w:rsidR="00BD4031" w:rsidRPr="00751F7E" w:rsidRDefault="000A276A" w:rsidP="000A276A">
            <w:pPr>
              <w:pStyle w:val="Header"/>
              <w:tabs>
                <w:tab w:val="clear" w:pos="4153"/>
                <w:tab w:val="clear" w:pos="8306"/>
                <w:tab w:val="right" w:pos="10065"/>
              </w:tabs>
            </w:pPr>
            <w:r>
              <w:t xml:space="preserve">T3 = </w:t>
            </w:r>
            <w:r w:rsidR="00FB1806">
              <w:t>50.</w:t>
            </w:r>
            <w:r>
              <w:t>00</w:t>
            </w:r>
          </w:p>
        </w:tc>
      </w:tr>
      <w:tr w:rsidR="000A276A" w:rsidTr="003E2955">
        <w:tc>
          <w:tcPr>
            <w:tcW w:w="13948" w:type="dxa"/>
            <w:gridSpan w:val="7"/>
          </w:tcPr>
          <w:p w:rsidR="000A276A" w:rsidRPr="0014145B" w:rsidRDefault="000A276A" w:rsidP="00BA753C">
            <w:pPr>
              <w:jc w:val="both"/>
              <w:rPr>
                <w:sz w:val="20"/>
                <w:szCs w:val="20"/>
              </w:rPr>
            </w:pPr>
            <w:r w:rsidRPr="0014145B">
              <w:rPr>
                <w:sz w:val="20"/>
                <w:szCs w:val="20"/>
              </w:rPr>
              <w:t>Cross Over Speed 9.34MPH</w:t>
            </w:r>
          </w:p>
        </w:tc>
      </w:tr>
      <w:tr w:rsidR="00882594" w:rsidTr="003E2955">
        <w:tc>
          <w:tcPr>
            <w:tcW w:w="13948" w:type="dxa"/>
            <w:gridSpan w:val="7"/>
          </w:tcPr>
          <w:p w:rsidR="00882594" w:rsidRPr="0014145B" w:rsidRDefault="00BA753C" w:rsidP="00521AFA">
            <w:pPr>
              <w:jc w:val="both"/>
              <w:rPr>
                <w:color w:val="7030A0"/>
                <w:sz w:val="20"/>
                <w:szCs w:val="20"/>
              </w:rPr>
            </w:pPr>
            <w:r w:rsidRPr="0014145B">
              <w:rPr>
                <w:sz w:val="20"/>
                <w:szCs w:val="20"/>
              </w:rPr>
              <w:t>Where the hackney carriage is used for pre-booked journeys the fare shall be calculated from the point in the district at which the hirer commences their journey in accordance with the Local Government (Miscellaneous Provisions) Act 1976 section 67. If a hackney carriage is booked by telephone, text, email or other electronic means a booking fee may be charged by prior arrangement only</w:t>
            </w:r>
            <w:r w:rsidR="003B394F" w:rsidRPr="0014145B">
              <w:rPr>
                <w:sz w:val="20"/>
                <w:szCs w:val="20"/>
              </w:rPr>
              <w:t xml:space="preserve"> </w:t>
            </w:r>
          </w:p>
        </w:tc>
      </w:tr>
      <w:tr w:rsidR="00751F7E" w:rsidTr="003E2955">
        <w:tc>
          <w:tcPr>
            <w:tcW w:w="13948" w:type="dxa"/>
            <w:gridSpan w:val="7"/>
          </w:tcPr>
          <w:p w:rsidR="00751F7E" w:rsidRPr="0014145B" w:rsidRDefault="00751F7E" w:rsidP="00BA753C">
            <w:pPr>
              <w:rPr>
                <w:b/>
                <w:sz w:val="20"/>
                <w:szCs w:val="20"/>
              </w:rPr>
            </w:pPr>
            <w:r w:rsidRPr="0014145B">
              <w:rPr>
                <w:sz w:val="20"/>
                <w:szCs w:val="20"/>
              </w:rPr>
              <w:t xml:space="preserve">If the journey takes the taxi outside the </w:t>
            </w:r>
            <w:r w:rsidR="00BA753C" w:rsidRPr="0014145B">
              <w:rPr>
                <w:sz w:val="20"/>
                <w:szCs w:val="20"/>
              </w:rPr>
              <w:t xml:space="preserve">West Berkshire </w:t>
            </w:r>
            <w:r w:rsidRPr="0014145B">
              <w:rPr>
                <w:sz w:val="20"/>
                <w:szCs w:val="20"/>
              </w:rPr>
              <w:t xml:space="preserve">Council area the driver MUST still charge in accordance with the above scales unless they have agreed otherwise with the hirer before the journey has started. </w:t>
            </w:r>
            <w:r w:rsidRPr="0014145B">
              <w:rPr>
                <w:b/>
                <w:sz w:val="20"/>
                <w:szCs w:val="20"/>
              </w:rPr>
              <w:t>These a</w:t>
            </w:r>
            <w:r w:rsidR="00BA753C" w:rsidRPr="0014145B">
              <w:rPr>
                <w:b/>
                <w:sz w:val="20"/>
                <w:szCs w:val="20"/>
              </w:rPr>
              <w:t>re the maximum fares chargeable and any lesser fare agreed before commencement of the journey still applies.</w:t>
            </w:r>
          </w:p>
        </w:tc>
      </w:tr>
      <w:tr w:rsidR="00882594" w:rsidTr="003E2955">
        <w:tc>
          <w:tcPr>
            <w:tcW w:w="13948" w:type="dxa"/>
            <w:gridSpan w:val="7"/>
          </w:tcPr>
          <w:p w:rsidR="00882594" w:rsidRPr="0014145B" w:rsidRDefault="00882594" w:rsidP="00751F7E">
            <w:pPr>
              <w:rPr>
                <w:color w:val="FF0000"/>
                <w:sz w:val="20"/>
                <w:szCs w:val="20"/>
              </w:rPr>
            </w:pPr>
            <w:r w:rsidRPr="0014145B">
              <w:rPr>
                <w:sz w:val="20"/>
                <w:szCs w:val="20"/>
              </w:rPr>
              <w:t xml:space="preserve">Congestion Charge, ULEZ, or any tolls will be applied for any journey where such charges or tolls are incurred. </w:t>
            </w:r>
            <w:r w:rsidRPr="0014145B">
              <w:rPr>
                <w:color w:val="FF0000"/>
                <w:sz w:val="20"/>
                <w:szCs w:val="20"/>
              </w:rPr>
              <w:t>These charges would not appear on the meter.</w:t>
            </w:r>
          </w:p>
        </w:tc>
      </w:tr>
      <w:tr w:rsidR="00895771" w:rsidTr="003E2955">
        <w:tc>
          <w:tcPr>
            <w:tcW w:w="13948" w:type="dxa"/>
            <w:gridSpan w:val="7"/>
          </w:tcPr>
          <w:p w:rsidR="00895771" w:rsidRPr="0014145B" w:rsidRDefault="00895771" w:rsidP="00751F7E">
            <w:pPr>
              <w:rPr>
                <w:sz w:val="20"/>
                <w:szCs w:val="20"/>
              </w:rPr>
            </w:pPr>
            <w:r w:rsidRPr="0014145B">
              <w:rPr>
                <w:sz w:val="20"/>
                <w:szCs w:val="20"/>
              </w:rPr>
              <w:t>The driver must carry an assistance dog at no extra charge – Equality Act 2010, section 168</w:t>
            </w:r>
          </w:p>
        </w:tc>
      </w:tr>
      <w:tr w:rsidR="00012922" w:rsidTr="00514E5A">
        <w:tc>
          <w:tcPr>
            <w:tcW w:w="13948" w:type="dxa"/>
            <w:gridSpan w:val="7"/>
          </w:tcPr>
          <w:p w:rsidR="00012922" w:rsidRPr="0014145B" w:rsidRDefault="00012922" w:rsidP="00BA753C">
            <w:pPr>
              <w:rPr>
                <w:rFonts w:ascii="Arial" w:hAnsi="Arial" w:cs="Arial"/>
                <w:sz w:val="20"/>
                <w:szCs w:val="20"/>
              </w:rPr>
            </w:pPr>
            <w:r w:rsidRPr="0014145B">
              <w:rPr>
                <w:rFonts w:ascii="Arial" w:hAnsi="Arial" w:cs="Arial"/>
                <w:sz w:val="20"/>
                <w:szCs w:val="20"/>
              </w:rPr>
              <w:t xml:space="preserve">Any complaints about a taxi or a driver should be directed to </w:t>
            </w:r>
            <w:hyperlink r:id="rId7" w:history="1">
              <w:r w:rsidR="00BA753C" w:rsidRPr="0014145B">
                <w:rPr>
                  <w:rStyle w:val="Hyperlink"/>
                  <w:rFonts w:ascii="Arial" w:hAnsi="Arial" w:cs="Arial"/>
                  <w:sz w:val="20"/>
                  <w:szCs w:val="20"/>
                  <w:lang w:val="en"/>
                </w:rPr>
                <w:t>Licensing@westberks.gov.uk</w:t>
              </w:r>
            </w:hyperlink>
            <w:r w:rsidR="00BA753C" w:rsidRPr="0014145B">
              <w:rPr>
                <w:rFonts w:ascii="Arial" w:hAnsi="Arial" w:cs="Arial"/>
                <w:color w:val="000000"/>
                <w:sz w:val="20"/>
                <w:szCs w:val="20"/>
                <w:lang w:val="en"/>
              </w:rPr>
              <w:t xml:space="preserve">  quoting i</w:t>
            </w:r>
            <w:r w:rsidRPr="0014145B">
              <w:rPr>
                <w:rFonts w:ascii="Arial" w:hAnsi="Arial" w:cs="Arial"/>
                <w:color w:val="000000"/>
                <w:sz w:val="20"/>
                <w:szCs w:val="20"/>
                <w:lang w:val="en"/>
              </w:rPr>
              <w:t>f possible the taxi plate number and or the driver’s badge number</w:t>
            </w:r>
          </w:p>
        </w:tc>
      </w:tr>
    </w:tbl>
    <w:p w:rsidR="00BA753C" w:rsidRPr="002B5D8C" w:rsidRDefault="00BA753C" w:rsidP="00264B01"/>
    <w:sectPr w:rsidR="00BA753C" w:rsidRPr="002B5D8C" w:rsidSect="00012922">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D7"/>
    <w:rsid w:val="00012922"/>
    <w:rsid w:val="0003655D"/>
    <w:rsid w:val="00052AE4"/>
    <w:rsid w:val="000A276A"/>
    <w:rsid w:val="000B742F"/>
    <w:rsid w:val="0012457A"/>
    <w:rsid w:val="0014145B"/>
    <w:rsid w:val="0014729E"/>
    <w:rsid w:val="00155738"/>
    <w:rsid w:val="00244458"/>
    <w:rsid w:val="00264B01"/>
    <w:rsid w:val="002B5D8C"/>
    <w:rsid w:val="002E6BCE"/>
    <w:rsid w:val="003302C7"/>
    <w:rsid w:val="0033310C"/>
    <w:rsid w:val="00342CA5"/>
    <w:rsid w:val="003B394F"/>
    <w:rsid w:val="00496883"/>
    <w:rsid w:val="00521AFA"/>
    <w:rsid w:val="00642AD3"/>
    <w:rsid w:val="006D0931"/>
    <w:rsid w:val="00751F7E"/>
    <w:rsid w:val="007D0DED"/>
    <w:rsid w:val="00882594"/>
    <w:rsid w:val="00895771"/>
    <w:rsid w:val="00AD6A56"/>
    <w:rsid w:val="00AF67D7"/>
    <w:rsid w:val="00BA753C"/>
    <w:rsid w:val="00BD4031"/>
    <w:rsid w:val="00C90C0D"/>
    <w:rsid w:val="00CC63DE"/>
    <w:rsid w:val="00D457A8"/>
    <w:rsid w:val="00D62217"/>
    <w:rsid w:val="00DC574C"/>
    <w:rsid w:val="00E35051"/>
    <w:rsid w:val="00F37C1E"/>
    <w:rsid w:val="00FB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7898-259B-4F68-AAB6-C93B4B1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table" w:styleId="TableGrid">
    <w:name w:val="Table Grid"/>
    <w:basedOn w:val="TableNormal"/>
    <w:uiPriority w:val="39"/>
    <w:rsid w:val="00AF6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1F7E"/>
    <w:pPr>
      <w:tabs>
        <w:tab w:val="center" w:pos="4153"/>
        <w:tab w:val="right" w:pos="8306"/>
      </w:tabs>
    </w:pPr>
    <w:rPr>
      <w:rFonts w:ascii="Arial" w:eastAsia="Times New Roman" w:hAnsi="Arial"/>
      <w:sz w:val="22"/>
      <w:szCs w:val="20"/>
      <w:lang w:eastAsia="en-GB"/>
    </w:rPr>
  </w:style>
  <w:style w:type="character" w:customStyle="1" w:styleId="HeaderChar">
    <w:name w:val="Header Char"/>
    <w:basedOn w:val="DefaultParagraphFont"/>
    <w:link w:val="Header"/>
    <w:rsid w:val="00751F7E"/>
    <w:rPr>
      <w:rFonts w:ascii="Arial" w:eastAsia="Times New Roman" w:hAnsi="Arial"/>
      <w:szCs w:val="20"/>
      <w:lang w:eastAsia="en-GB"/>
    </w:rPr>
  </w:style>
  <w:style w:type="character" w:styleId="Hyperlink">
    <w:name w:val="Hyperlink"/>
    <w:basedOn w:val="DefaultParagraphFont"/>
    <w:uiPriority w:val="99"/>
    <w:unhideWhenUsed/>
    <w:rsid w:val="00012922"/>
    <w:rPr>
      <w:color w:val="2B4E9A"/>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censing@westberk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81838.559E42E0" TargetMode="External"/><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2022-04-03T16:47:00Z</dcterms:created>
  <dcterms:modified xsi:type="dcterms:W3CDTF">2022-04-03T16:47:00Z</dcterms:modified>
</cp:coreProperties>
</file>