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0065" w14:textId="77777777" w:rsidR="00F4215A" w:rsidRDefault="007C0C9F" w:rsidP="00F4215A">
      <w:pPr>
        <w:pStyle w:val="Heading1"/>
        <w:jc w:val="right"/>
      </w:pPr>
      <w:r w:rsidRPr="007F1DF1">
        <w:rPr>
          <w:rFonts w:ascii="Calibri" w:eastAsia="Calibri" w:hAnsi="Calibri" w:cs="Calibri"/>
          <w:noProof/>
          <w:sz w:val="22"/>
          <w:szCs w:val="22"/>
          <w:lang w:eastAsia="en-GB"/>
        </w:rPr>
        <w:drawing>
          <wp:inline distT="0" distB="0" distL="0" distR="0" wp14:anchorId="69510A31" wp14:editId="6500E83E">
            <wp:extent cx="2609377" cy="679450"/>
            <wp:effectExtent l="0" t="0" r="635" b="635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25831" cy="683734"/>
                    </a:xfrm>
                    <a:prstGeom prst="rect">
                      <a:avLst/>
                    </a:prstGeom>
                    <a:noFill/>
                    <a:ln>
                      <a:noFill/>
                    </a:ln>
                  </pic:spPr>
                </pic:pic>
              </a:graphicData>
            </a:graphic>
          </wp:inline>
        </w:drawing>
      </w:r>
    </w:p>
    <w:p w14:paraId="73BAD8DD" w14:textId="77777777" w:rsidR="00F4215A" w:rsidRDefault="00F4215A" w:rsidP="000E01FB">
      <w:pPr>
        <w:pStyle w:val="Heading1"/>
        <w:jc w:val="center"/>
      </w:pPr>
    </w:p>
    <w:p w14:paraId="621E7CA3" w14:textId="0ED9F895" w:rsidR="00C90C0D" w:rsidRPr="00ED64A3" w:rsidRDefault="007E528C" w:rsidP="000E01FB">
      <w:pPr>
        <w:pStyle w:val="Heading1"/>
        <w:jc w:val="center"/>
      </w:pPr>
      <w:r>
        <w:t>Outcome of the Hackney Carriage and Private Hire Operators and Vehicle Licence F</w:t>
      </w:r>
      <w:r w:rsidRPr="007E528C">
        <w:t>ees</w:t>
      </w:r>
      <w:r w:rsidR="00D31C23">
        <w:t xml:space="preserve"> Consultation</w:t>
      </w:r>
      <w:r w:rsidR="007C0C9F">
        <w:t xml:space="preserve"> - 202</w:t>
      </w:r>
      <w:r w:rsidR="00A4217D">
        <w:t>3</w:t>
      </w:r>
    </w:p>
    <w:p w14:paraId="46A057D9" w14:textId="77777777" w:rsidR="000B4F06" w:rsidRDefault="000B4F06"/>
    <w:p w14:paraId="1057097C" w14:textId="77777777" w:rsidR="000B4F06" w:rsidRDefault="000B4F06" w:rsidP="000E01FB">
      <w:pPr>
        <w:pStyle w:val="Heading2"/>
      </w:pPr>
      <w:r w:rsidRPr="000E01FB">
        <w:t>Background</w:t>
      </w:r>
    </w:p>
    <w:p w14:paraId="761391DE" w14:textId="77777777" w:rsidR="007E528C" w:rsidRPr="007E528C" w:rsidRDefault="005E06F6" w:rsidP="007E528C">
      <w:pPr>
        <w:spacing w:after="240"/>
        <w:jc w:val="both"/>
        <w:rPr>
          <w:rFonts w:cs="Arial"/>
          <w:szCs w:val="22"/>
        </w:rPr>
      </w:pPr>
      <w:r>
        <w:rPr>
          <w:rFonts w:cs="Arial"/>
          <w:szCs w:val="22"/>
        </w:rPr>
        <w:t>I</w:t>
      </w:r>
      <w:r w:rsidRPr="00C900B4">
        <w:rPr>
          <w:rFonts w:cs="Arial"/>
          <w:szCs w:val="22"/>
        </w:rPr>
        <w:t xml:space="preserve">n accordance with </w:t>
      </w:r>
      <w:r w:rsidRPr="005E06F6">
        <w:rPr>
          <w:rStyle w:val="Hyperlink"/>
          <w:rFonts w:cs="Arial"/>
          <w:b/>
          <w:color w:val="00B050"/>
          <w:szCs w:val="22"/>
        </w:rPr>
        <w:t>Section 70 (1) of the Local Government (Miscellaneous Provisions) Act 1976</w:t>
      </w:r>
      <w:r w:rsidRPr="00C900B4">
        <w:rPr>
          <w:rFonts w:cs="Arial"/>
          <w:szCs w:val="22"/>
        </w:rPr>
        <w:t xml:space="preserve"> </w:t>
      </w:r>
      <w:r w:rsidR="007E528C" w:rsidRPr="007E528C">
        <w:rPr>
          <w:rFonts w:cs="Arial"/>
          <w:szCs w:val="22"/>
        </w:rPr>
        <w:t xml:space="preserve">the Council is required to undertake a statutory </w:t>
      </w:r>
      <w:proofErr w:type="gramStart"/>
      <w:r w:rsidR="007E528C" w:rsidRPr="007E528C">
        <w:rPr>
          <w:rFonts w:cs="Arial"/>
          <w:szCs w:val="22"/>
        </w:rPr>
        <w:t>28 day</w:t>
      </w:r>
      <w:proofErr w:type="gramEnd"/>
      <w:r w:rsidR="007E528C" w:rsidRPr="007E528C">
        <w:rPr>
          <w:rFonts w:cs="Arial"/>
          <w:szCs w:val="22"/>
        </w:rPr>
        <w:t xml:space="preserve"> consultation when variations to </w:t>
      </w:r>
      <w:r w:rsidR="00740CD3">
        <w:rPr>
          <w:rFonts w:cs="Arial"/>
          <w:szCs w:val="22"/>
        </w:rPr>
        <w:t>hackney carriage and private hire operators and v</w:t>
      </w:r>
      <w:r w:rsidR="00740CD3" w:rsidRPr="00740CD3">
        <w:rPr>
          <w:rFonts w:cs="Arial"/>
          <w:szCs w:val="22"/>
        </w:rPr>
        <w:t xml:space="preserve">ehicle </w:t>
      </w:r>
      <w:r w:rsidR="00740CD3">
        <w:rPr>
          <w:rFonts w:cs="Arial"/>
          <w:szCs w:val="22"/>
        </w:rPr>
        <w:t>licence f</w:t>
      </w:r>
      <w:r w:rsidR="00740CD3" w:rsidRPr="00740CD3">
        <w:rPr>
          <w:rFonts w:cs="Arial"/>
          <w:szCs w:val="22"/>
        </w:rPr>
        <w:t xml:space="preserve">ees </w:t>
      </w:r>
      <w:r w:rsidR="007E528C" w:rsidRPr="007E528C">
        <w:rPr>
          <w:rFonts w:cs="Arial"/>
          <w:szCs w:val="22"/>
        </w:rPr>
        <w:t>are proposed.</w:t>
      </w:r>
    </w:p>
    <w:p w14:paraId="67CFD7D9" w14:textId="1EC2974F" w:rsidR="007E528C" w:rsidRPr="007E528C" w:rsidRDefault="007C0C9F" w:rsidP="007E528C">
      <w:pPr>
        <w:spacing w:after="240"/>
        <w:jc w:val="both"/>
        <w:rPr>
          <w:rFonts w:ascii="Arial" w:eastAsia="Times New Roman" w:hAnsi="Arial"/>
          <w:bCs/>
          <w:szCs w:val="20"/>
        </w:rPr>
      </w:pPr>
      <w:r>
        <w:rPr>
          <w:rFonts w:cs="Arial"/>
          <w:szCs w:val="22"/>
        </w:rPr>
        <w:t>The proposed fees for 202</w:t>
      </w:r>
      <w:r w:rsidR="00A4217D">
        <w:rPr>
          <w:rFonts w:cs="Arial"/>
          <w:szCs w:val="22"/>
        </w:rPr>
        <w:t>4</w:t>
      </w:r>
      <w:r w:rsidR="007E528C" w:rsidRPr="007E528C">
        <w:rPr>
          <w:rFonts w:cs="Arial"/>
          <w:szCs w:val="22"/>
        </w:rPr>
        <w:t>/2</w:t>
      </w:r>
      <w:r w:rsidR="00A4217D">
        <w:rPr>
          <w:rFonts w:cs="Arial"/>
          <w:szCs w:val="22"/>
        </w:rPr>
        <w:t>5</w:t>
      </w:r>
      <w:r w:rsidR="007E528C" w:rsidRPr="007E528C">
        <w:rPr>
          <w:rFonts w:cs="Arial"/>
          <w:szCs w:val="22"/>
        </w:rPr>
        <w:t xml:space="preserve"> were discussed at the Joint Public Protection Committee meeting held on the</w:t>
      </w:r>
      <w:r>
        <w:rPr>
          <w:rFonts w:cs="Arial"/>
          <w:szCs w:val="22"/>
        </w:rPr>
        <w:t xml:space="preserve"> </w:t>
      </w:r>
      <w:hyperlink r:id="rId9" w:history="1">
        <w:r w:rsidR="00A4217D" w:rsidRPr="00A4217D">
          <w:rPr>
            <w:rStyle w:val="Hyperlink"/>
            <w:rFonts w:cs="Arial"/>
            <w:b/>
            <w:bCs/>
            <w:color w:val="00B050"/>
            <w:szCs w:val="22"/>
          </w:rPr>
          <w:t>02 October 2023.</w:t>
        </w:r>
      </w:hyperlink>
      <w:r w:rsidR="007E528C" w:rsidRPr="007E528C">
        <w:rPr>
          <w:rFonts w:cs="Arial"/>
          <w:szCs w:val="22"/>
        </w:rPr>
        <w:t xml:space="preserve"> </w:t>
      </w:r>
      <w:r w:rsidR="007E528C" w:rsidRPr="007E528C">
        <w:rPr>
          <w:rFonts w:ascii="Arial" w:eastAsia="Times New Roman" w:hAnsi="Arial"/>
          <w:bCs/>
          <w:szCs w:val="20"/>
        </w:rPr>
        <w:t>The Joint Public Protection Committee (JPPC) is required by the Inter-Authority Agreement (IAA) that set up the Public Protection Partnership (PPP) shared service to recommend a draft set of fees and</w:t>
      </w:r>
      <w:r w:rsidR="00740CD3">
        <w:rPr>
          <w:rFonts w:ascii="Arial" w:eastAsia="Times New Roman" w:hAnsi="Arial"/>
          <w:bCs/>
          <w:szCs w:val="20"/>
        </w:rPr>
        <w:t xml:space="preserve"> charges to </w:t>
      </w:r>
      <w:r w:rsidR="00A4217D">
        <w:rPr>
          <w:rFonts w:ascii="Arial" w:eastAsia="Times New Roman" w:hAnsi="Arial"/>
          <w:bCs/>
          <w:szCs w:val="20"/>
        </w:rPr>
        <w:t xml:space="preserve">both </w:t>
      </w:r>
      <w:r w:rsidR="00740CD3">
        <w:rPr>
          <w:rFonts w:ascii="Arial" w:eastAsia="Times New Roman" w:hAnsi="Arial"/>
          <w:bCs/>
          <w:szCs w:val="20"/>
        </w:rPr>
        <w:t>of the member c</w:t>
      </w:r>
      <w:r w:rsidR="007E528C" w:rsidRPr="007E528C">
        <w:rPr>
          <w:rFonts w:ascii="Arial" w:eastAsia="Times New Roman" w:hAnsi="Arial"/>
          <w:bCs/>
          <w:szCs w:val="20"/>
        </w:rPr>
        <w:t>ouncils</w:t>
      </w:r>
      <w:r w:rsidR="007E528C">
        <w:rPr>
          <w:rFonts w:ascii="Arial" w:eastAsia="Times New Roman" w:hAnsi="Arial"/>
          <w:bCs/>
          <w:szCs w:val="20"/>
        </w:rPr>
        <w:t xml:space="preserve"> which includes Bracknell Forest Council</w:t>
      </w:r>
      <w:r w:rsidR="007E528C" w:rsidRPr="007E528C">
        <w:rPr>
          <w:rFonts w:ascii="Arial" w:eastAsia="Times New Roman" w:hAnsi="Arial"/>
          <w:bCs/>
          <w:szCs w:val="20"/>
        </w:rPr>
        <w:t>.</w:t>
      </w:r>
    </w:p>
    <w:p w14:paraId="2B9896BF" w14:textId="2A3361CE" w:rsidR="005E06F6" w:rsidRDefault="007E528C" w:rsidP="005E06F6">
      <w:pPr>
        <w:pStyle w:val="NoSpacing"/>
        <w:keepNext/>
        <w:jc w:val="both"/>
        <w:rPr>
          <w:rFonts w:ascii="Arial" w:eastAsia="Times New Roman" w:hAnsi="Arial" w:cs="Arial"/>
          <w:szCs w:val="24"/>
          <w:lang w:eastAsia="en-GB"/>
        </w:rPr>
      </w:pPr>
      <w:r w:rsidRPr="007E528C">
        <w:rPr>
          <w:rFonts w:ascii="Arial" w:eastAsia="Times New Roman" w:hAnsi="Arial" w:cs="Arial"/>
          <w:lang w:eastAsia="en-GB"/>
        </w:rPr>
        <w:t xml:space="preserve">At the meeting of the Joint Public Protection Committee in December 2017 it was agreed that as a matter of principle all fees and charges should be set </w:t>
      </w:r>
      <w:proofErr w:type="gramStart"/>
      <w:r w:rsidRPr="007E528C">
        <w:rPr>
          <w:rFonts w:ascii="Arial" w:eastAsia="Times New Roman" w:hAnsi="Arial" w:cs="Arial"/>
          <w:lang w:eastAsia="en-GB"/>
        </w:rPr>
        <w:t>on the basis of</w:t>
      </w:r>
      <w:proofErr w:type="gramEnd"/>
      <w:r w:rsidRPr="007E528C">
        <w:rPr>
          <w:rFonts w:ascii="Arial" w:eastAsia="Times New Roman" w:hAnsi="Arial" w:cs="Arial"/>
          <w:lang w:eastAsia="en-GB"/>
        </w:rPr>
        <w:t xml:space="preserve"> full cost recovery. </w:t>
      </w:r>
    </w:p>
    <w:p w14:paraId="17DBDAFB" w14:textId="77777777" w:rsidR="007E528C" w:rsidRPr="007E528C" w:rsidRDefault="007E528C" w:rsidP="005E06F6">
      <w:pPr>
        <w:jc w:val="both"/>
        <w:rPr>
          <w:rFonts w:ascii="Arial" w:eastAsia="Times New Roman" w:hAnsi="Arial" w:cs="Arial"/>
          <w:lang w:val="en" w:eastAsia="en-GB"/>
        </w:rPr>
      </w:pPr>
    </w:p>
    <w:p w14:paraId="0D30B328" w14:textId="7E94DD0C" w:rsidR="005E06F6" w:rsidRPr="00CC4CC3" w:rsidRDefault="00CC4CC3" w:rsidP="005E06F6">
      <w:pPr>
        <w:jc w:val="both"/>
        <w:rPr>
          <w:rStyle w:val="Hyperlink"/>
          <w:rFonts w:ascii="Arial" w:hAnsi="Arial" w:cs="Arial"/>
          <w:b/>
          <w:bCs/>
          <w:color w:val="00B050"/>
        </w:rPr>
      </w:pPr>
      <w:r>
        <w:rPr>
          <w:rFonts w:ascii="Arial" w:hAnsi="Arial" w:cs="Arial"/>
        </w:rPr>
        <w:t xml:space="preserve">Bracknell Forest </w:t>
      </w:r>
      <w:r w:rsidRPr="00973474">
        <w:rPr>
          <w:rFonts w:ascii="Arial" w:hAnsi="Arial" w:cs="Arial"/>
        </w:rPr>
        <w:t xml:space="preserve">Council’s Licensing </w:t>
      </w:r>
      <w:r>
        <w:rPr>
          <w:rFonts w:ascii="Arial" w:hAnsi="Arial" w:cs="Arial"/>
        </w:rPr>
        <w:t xml:space="preserve">and Safety </w:t>
      </w:r>
      <w:r w:rsidRPr="00973474">
        <w:rPr>
          <w:rFonts w:ascii="Arial" w:hAnsi="Arial" w:cs="Arial"/>
        </w:rPr>
        <w:t xml:space="preserve">Committee considered the </w:t>
      </w:r>
      <w:r>
        <w:rPr>
          <w:rFonts w:ascii="Arial" w:hAnsi="Arial" w:cs="Arial"/>
        </w:rPr>
        <w:t xml:space="preserve">proposed </w:t>
      </w:r>
      <w:r w:rsidRPr="00973474">
        <w:rPr>
          <w:rFonts w:ascii="Arial" w:hAnsi="Arial" w:cs="Arial"/>
        </w:rPr>
        <w:t xml:space="preserve">fees at a meeting held on </w:t>
      </w:r>
      <w:r>
        <w:rPr>
          <w:rFonts w:ascii="Arial" w:hAnsi="Arial" w:cs="Arial"/>
        </w:rPr>
        <w:t>Thursday,</w:t>
      </w:r>
      <w:r w:rsidRPr="00973474">
        <w:rPr>
          <w:rFonts w:ascii="Arial" w:hAnsi="Arial" w:cs="Arial"/>
        </w:rPr>
        <w:t xml:space="preserve"> </w:t>
      </w:r>
      <w:hyperlink r:id="rId10" w:history="1">
        <w:r w:rsidRPr="00CC4CC3">
          <w:rPr>
            <w:rStyle w:val="Hyperlink"/>
            <w:rFonts w:ascii="Arial" w:hAnsi="Arial" w:cs="Arial"/>
            <w:b/>
            <w:bCs/>
            <w:color w:val="00B050"/>
          </w:rPr>
          <w:t>19 October 2023</w:t>
        </w:r>
      </w:hyperlink>
    </w:p>
    <w:p w14:paraId="4D69AB94" w14:textId="77777777" w:rsidR="00CC4CC3" w:rsidRDefault="00CC4CC3" w:rsidP="005E06F6">
      <w:pPr>
        <w:jc w:val="both"/>
        <w:rPr>
          <w:rFonts w:ascii="Arial" w:eastAsia="Times New Roman" w:hAnsi="Arial" w:cs="Arial"/>
          <w:lang w:val="en" w:eastAsia="en-GB"/>
        </w:rPr>
      </w:pPr>
    </w:p>
    <w:p w14:paraId="2055C61F" w14:textId="4AD01624" w:rsidR="005E06F6" w:rsidRPr="005E06F6" w:rsidRDefault="005E06F6" w:rsidP="005E06F6">
      <w:pPr>
        <w:jc w:val="both"/>
      </w:pPr>
      <w:r w:rsidRPr="005E06F6">
        <w:rPr>
          <w:rFonts w:ascii="Arial" w:eastAsia="Times New Roman" w:hAnsi="Arial" w:cs="Arial"/>
        </w:rPr>
        <w:t xml:space="preserve">The Licensing </w:t>
      </w:r>
      <w:r w:rsidR="00CC4CC3">
        <w:rPr>
          <w:rFonts w:ascii="Arial" w:eastAsia="Times New Roman" w:hAnsi="Arial" w:cs="Arial"/>
        </w:rPr>
        <w:t xml:space="preserve">and Safety </w:t>
      </w:r>
      <w:r w:rsidRPr="005E06F6">
        <w:rPr>
          <w:rFonts w:ascii="Arial" w:eastAsia="Times New Roman" w:hAnsi="Arial" w:cs="Arial"/>
        </w:rPr>
        <w:t xml:space="preserve">Committee </w:t>
      </w:r>
      <w:r w:rsidRPr="005E06F6">
        <w:rPr>
          <w:rFonts w:eastAsia="Times New Roman"/>
        </w:rPr>
        <w:t xml:space="preserve">agreed that save for the, hackney carriage and private hire vehicles and private hire operator’s fees, </w:t>
      </w:r>
      <w:hyperlink r:id="rId11" w:history="1">
        <w:r w:rsidRPr="005E06F6">
          <w:rPr>
            <w:rFonts w:eastAsia="Times New Roman"/>
            <w:b/>
            <w:color w:val="00B050"/>
            <w:u w:val="single"/>
          </w:rPr>
          <w:t xml:space="preserve">all of the PPP </w:t>
        </w:r>
        <w:r w:rsidRPr="005E06F6">
          <w:rPr>
            <w:b/>
            <w:color w:val="00B050"/>
            <w:u w:val="single"/>
          </w:rPr>
          <w:t>fees</w:t>
        </w:r>
      </w:hyperlink>
      <w:r w:rsidRPr="005E06F6">
        <w:t xml:space="preserve"> would go forward for consideration as part of the council’s fee setting process, with the final determination to be made at the Full Council meeting on Wednesday 2</w:t>
      </w:r>
      <w:r w:rsidR="00CC4CC3">
        <w:t>1</w:t>
      </w:r>
      <w:r w:rsidRPr="005E06F6">
        <w:t xml:space="preserve"> February 202</w:t>
      </w:r>
      <w:r w:rsidR="00CC4CC3">
        <w:t>4</w:t>
      </w:r>
      <w:r w:rsidRPr="005E06F6">
        <w:t>.</w:t>
      </w:r>
    </w:p>
    <w:p w14:paraId="159E5CC5" w14:textId="77777777" w:rsidR="005E06F6" w:rsidRPr="005E06F6" w:rsidRDefault="005E06F6" w:rsidP="005E06F6">
      <w:pPr>
        <w:jc w:val="both"/>
        <w:rPr>
          <w:rFonts w:ascii="Arial" w:hAnsi="Arial" w:cs="Arial"/>
          <w:b/>
        </w:rPr>
      </w:pPr>
    </w:p>
    <w:p w14:paraId="75727B66" w14:textId="17BB194E" w:rsidR="00CC4CC3" w:rsidRDefault="005E06F6" w:rsidP="00CC4CC3">
      <w:pPr>
        <w:jc w:val="both"/>
        <w:rPr>
          <w:rFonts w:eastAsia="Times New Roman"/>
        </w:rPr>
      </w:pPr>
      <w:r w:rsidRPr="005E06F6">
        <w:t xml:space="preserve">The </w:t>
      </w:r>
      <w:r w:rsidRPr="005E06F6">
        <w:rPr>
          <w:rFonts w:eastAsia="Times New Roman"/>
        </w:rPr>
        <w:t xml:space="preserve">hackney carriage and private hire vehicles and private hire operator’s fees would be subjected to the statutory consultation process. </w:t>
      </w:r>
    </w:p>
    <w:p w14:paraId="7EF57420" w14:textId="77777777" w:rsidR="00CC4CC3" w:rsidRPr="00CC4CC3" w:rsidRDefault="00CC4CC3" w:rsidP="00CC4CC3">
      <w:pPr>
        <w:jc w:val="both"/>
        <w:rPr>
          <w:rFonts w:eastAsia="Times New Roman"/>
        </w:rPr>
      </w:pPr>
    </w:p>
    <w:p w14:paraId="2974DC59" w14:textId="783C6F66" w:rsidR="00CC4CC3" w:rsidRDefault="00CC4CC3" w:rsidP="00CC4CC3">
      <w:pPr>
        <w:pStyle w:val="NoSpacing"/>
        <w:keepNext/>
        <w:jc w:val="both"/>
        <w:rPr>
          <w:rFonts w:ascii="Arial" w:eastAsia="Times New Roman" w:hAnsi="Arial" w:cs="Arial"/>
          <w:szCs w:val="24"/>
          <w:lang w:eastAsia="en-GB"/>
        </w:rPr>
      </w:pPr>
      <w:bookmarkStart w:id="0" w:name="_Hlk152071368"/>
      <w:r w:rsidRPr="0069065F">
        <w:rPr>
          <w:rFonts w:ascii="Arial" w:eastAsia="Times New Roman" w:hAnsi="Arial" w:cs="Arial"/>
          <w:szCs w:val="24"/>
          <w:lang w:eastAsia="en-GB"/>
        </w:rPr>
        <w:t xml:space="preserve">In light of the current inflation rate it is proposed to increase the hourly rate </w:t>
      </w:r>
      <w:r>
        <w:rPr>
          <w:rFonts w:ascii="Arial" w:eastAsia="Times New Roman" w:hAnsi="Arial" w:cs="Arial"/>
          <w:szCs w:val="24"/>
          <w:lang w:eastAsia="en-GB"/>
        </w:rPr>
        <w:t xml:space="preserve">from </w:t>
      </w:r>
      <w:r w:rsidRPr="0069065F">
        <w:rPr>
          <w:rFonts w:ascii="Arial" w:eastAsia="Times New Roman" w:hAnsi="Arial" w:cs="Arial"/>
          <w:szCs w:val="24"/>
          <w:lang w:eastAsia="en-GB"/>
        </w:rPr>
        <w:t xml:space="preserve">£64p/h </w:t>
      </w:r>
      <w:r>
        <w:rPr>
          <w:rFonts w:ascii="Arial" w:eastAsia="Times New Roman" w:hAnsi="Arial" w:cs="Arial"/>
          <w:szCs w:val="24"/>
          <w:lang w:eastAsia="en-GB"/>
        </w:rPr>
        <w:t xml:space="preserve">to £68.25p/h </w:t>
      </w:r>
      <w:r w:rsidRPr="0069065F">
        <w:rPr>
          <w:rFonts w:ascii="Arial" w:eastAsia="Times New Roman" w:hAnsi="Arial" w:cs="Arial"/>
          <w:szCs w:val="24"/>
          <w:lang w:eastAsia="en-GB"/>
        </w:rPr>
        <w:t xml:space="preserve">for </w:t>
      </w:r>
      <w:r>
        <w:rPr>
          <w:rFonts w:ascii="Arial" w:eastAsia="Times New Roman" w:hAnsi="Arial" w:cs="Arial"/>
          <w:szCs w:val="24"/>
          <w:lang w:eastAsia="en-GB"/>
        </w:rPr>
        <w:t xml:space="preserve">2024/25 (increase of 6.7% which was in line </w:t>
      </w:r>
      <w:proofErr w:type="gramStart"/>
      <w:r>
        <w:rPr>
          <w:rFonts w:ascii="Arial" w:eastAsia="Times New Roman" w:hAnsi="Arial" w:cs="Arial"/>
          <w:szCs w:val="24"/>
          <w:lang w:eastAsia="en-GB"/>
        </w:rPr>
        <w:t xml:space="preserve">with </w:t>
      </w:r>
      <w:r w:rsidR="00A167A9">
        <w:rPr>
          <w:rFonts w:ascii="Arial" w:eastAsia="Times New Roman" w:hAnsi="Arial" w:cs="Arial"/>
          <w:szCs w:val="24"/>
          <w:lang w:eastAsia="en-GB"/>
        </w:rPr>
        <w:t xml:space="preserve"> the</w:t>
      </w:r>
      <w:proofErr w:type="gramEnd"/>
      <w:r w:rsidR="00A167A9">
        <w:rPr>
          <w:rFonts w:ascii="Arial" w:eastAsia="Times New Roman" w:hAnsi="Arial" w:cs="Arial"/>
          <w:szCs w:val="24"/>
          <w:lang w:eastAsia="en-GB"/>
        </w:rPr>
        <w:t xml:space="preserve"> 12 month </w:t>
      </w:r>
      <w:r>
        <w:rPr>
          <w:rFonts w:ascii="Arial" w:eastAsia="Times New Roman" w:hAnsi="Arial" w:cs="Arial"/>
          <w:szCs w:val="24"/>
          <w:lang w:eastAsia="en-GB"/>
        </w:rPr>
        <w:t xml:space="preserve">CPI </w:t>
      </w:r>
      <w:r w:rsidR="00CD7CEB">
        <w:rPr>
          <w:rFonts w:ascii="Arial" w:eastAsia="Times New Roman" w:hAnsi="Arial" w:cs="Arial"/>
          <w:szCs w:val="24"/>
          <w:lang w:eastAsia="en-GB"/>
        </w:rPr>
        <w:t>to</w:t>
      </w:r>
      <w:r>
        <w:rPr>
          <w:rFonts w:ascii="Arial" w:eastAsia="Times New Roman" w:hAnsi="Arial" w:cs="Arial"/>
          <w:szCs w:val="24"/>
          <w:lang w:eastAsia="en-GB"/>
        </w:rPr>
        <w:t xml:space="preserve"> the end of August 2023)</w:t>
      </w:r>
    </w:p>
    <w:bookmarkEnd w:id="0"/>
    <w:p w14:paraId="46343C20" w14:textId="455BFFD6" w:rsidR="007E528C" w:rsidRDefault="007E528C" w:rsidP="007E528C">
      <w:pPr>
        <w:spacing w:before="100" w:beforeAutospacing="1" w:after="100" w:afterAutospacing="1"/>
        <w:jc w:val="both"/>
        <w:rPr>
          <w:rFonts w:ascii="Arial" w:eastAsia="Times New Roman" w:hAnsi="Arial" w:cs="Arial"/>
          <w:lang w:val="en" w:eastAsia="en-GB"/>
        </w:rPr>
      </w:pPr>
      <w:r w:rsidRPr="007E528C">
        <w:rPr>
          <w:rFonts w:ascii="Arial" w:eastAsia="Times New Roman" w:hAnsi="Arial" w:cs="Arial"/>
          <w:lang w:val="en" w:eastAsia="en-GB"/>
        </w:rPr>
        <w:t xml:space="preserve">The proposed fees </w:t>
      </w:r>
      <w:r w:rsidR="00D7718C">
        <w:rPr>
          <w:rFonts w:ascii="Arial" w:eastAsia="Times New Roman" w:hAnsi="Arial" w:cs="Arial"/>
          <w:lang w:val="en" w:eastAsia="en-GB"/>
        </w:rPr>
        <w:t xml:space="preserve">that </w:t>
      </w:r>
      <w:r w:rsidR="00F4215A">
        <w:rPr>
          <w:rFonts w:ascii="Arial" w:eastAsia="Times New Roman" w:hAnsi="Arial" w:cs="Arial"/>
          <w:lang w:val="en" w:eastAsia="en-GB"/>
        </w:rPr>
        <w:t xml:space="preserve">are required to be </w:t>
      </w:r>
      <w:r w:rsidR="00D7718C">
        <w:rPr>
          <w:rFonts w:ascii="Arial" w:eastAsia="Times New Roman" w:hAnsi="Arial" w:cs="Arial"/>
          <w:lang w:val="en" w:eastAsia="en-GB"/>
        </w:rPr>
        <w:t xml:space="preserve">consulted on under the legislation </w:t>
      </w:r>
      <w:r w:rsidRPr="007E528C">
        <w:rPr>
          <w:rFonts w:ascii="Arial" w:eastAsia="Times New Roman" w:hAnsi="Arial" w:cs="Arial"/>
          <w:lang w:val="en" w:eastAsia="en-GB"/>
        </w:rPr>
        <w:t>are set out below:</w:t>
      </w:r>
    </w:p>
    <w:p w14:paraId="5CF360FA" w14:textId="248F7061" w:rsidR="002200A0" w:rsidRPr="002200A0" w:rsidRDefault="002200A0" w:rsidP="002200A0">
      <w:pPr>
        <w:spacing w:before="100" w:beforeAutospacing="1" w:after="100" w:afterAutospacing="1"/>
        <w:rPr>
          <w:rFonts w:ascii="Arial" w:eastAsia="Times New Roman" w:hAnsi="Arial" w:cs="Arial"/>
          <w:b/>
          <w:lang w:val="en" w:eastAsia="en-GB"/>
        </w:rPr>
      </w:pPr>
      <w:r w:rsidRPr="002200A0">
        <w:rPr>
          <w:rFonts w:ascii="Arial" w:eastAsia="Times New Roman" w:hAnsi="Arial" w:cs="Arial"/>
          <w:b/>
          <w:lang w:val="en" w:eastAsia="en-GB"/>
        </w:rPr>
        <w:t>Hackney Carriage (Taxi) and Private Hire Vehicle Licence</w:t>
      </w:r>
    </w:p>
    <w:tbl>
      <w:tblPr>
        <w:tblStyle w:val="TableGrid8"/>
        <w:tblW w:w="8642" w:type="dxa"/>
        <w:tblLayout w:type="fixed"/>
        <w:tblLook w:val="04A0" w:firstRow="1" w:lastRow="0" w:firstColumn="1" w:lastColumn="0" w:noHBand="0" w:noVBand="1"/>
      </w:tblPr>
      <w:tblGrid>
        <w:gridCol w:w="5315"/>
        <w:gridCol w:w="3327"/>
      </w:tblGrid>
      <w:tr w:rsidR="00CC4CC3" w:rsidRPr="00C900B4" w14:paraId="36CFBBBA" w14:textId="77777777" w:rsidTr="00A96C9A">
        <w:trPr>
          <w:trHeight w:val="267"/>
        </w:trPr>
        <w:tc>
          <w:tcPr>
            <w:tcW w:w="5315" w:type="dxa"/>
          </w:tcPr>
          <w:p w14:paraId="20B92E7E" w14:textId="77777777" w:rsidR="00CC4CC3" w:rsidRPr="00C900B4" w:rsidRDefault="00CC4CC3" w:rsidP="00A96C9A">
            <w:pPr>
              <w:rPr>
                <w:rFonts w:cs="Arial"/>
              </w:rPr>
            </w:pPr>
            <w:r w:rsidRPr="00C900B4">
              <w:rPr>
                <w:rFonts w:cs="Arial"/>
              </w:rPr>
              <w:t>Hackney carriage vehicle new / renewal</w:t>
            </w:r>
          </w:p>
        </w:tc>
        <w:tc>
          <w:tcPr>
            <w:tcW w:w="3327" w:type="dxa"/>
          </w:tcPr>
          <w:p w14:paraId="7B396180" w14:textId="77777777" w:rsidR="00CC4CC3" w:rsidRPr="00B14183" w:rsidRDefault="00CC4CC3" w:rsidP="00A96C9A">
            <w:pPr>
              <w:jc w:val="right"/>
              <w:rPr>
                <w:rFonts w:cs="Arial"/>
              </w:rPr>
            </w:pPr>
            <w:r w:rsidRPr="00B14183">
              <w:rPr>
                <w:rFonts w:cs="Arial"/>
              </w:rPr>
              <w:t>£307/£273</w:t>
            </w:r>
          </w:p>
          <w:p w14:paraId="635E6183" w14:textId="77777777" w:rsidR="00CC4CC3" w:rsidRPr="00C900B4" w:rsidRDefault="00CC4CC3" w:rsidP="00A96C9A">
            <w:pPr>
              <w:jc w:val="right"/>
              <w:rPr>
                <w:rFonts w:cs="Arial"/>
              </w:rPr>
            </w:pPr>
          </w:p>
        </w:tc>
      </w:tr>
      <w:tr w:rsidR="00CC4CC3" w:rsidRPr="00C900B4" w14:paraId="2B8326BD" w14:textId="77777777" w:rsidTr="00A96C9A">
        <w:trPr>
          <w:trHeight w:val="284"/>
        </w:trPr>
        <w:tc>
          <w:tcPr>
            <w:tcW w:w="5315" w:type="dxa"/>
          </w:tcPr>
          <w:p w14:paraId="5A619FF1" w14:textId="77777777" w:rsidR="00CC4CC3" w:rsidRPr="00C900B4" w:rsidRDefault="00CC4CC3" w:rsidP="00A96C9A">
            <w:pPr>
              <w:rPr>
                <w:rFonts w:cs="Arial"/>
              </w:rPr>
            </w:pPr>
            <w:r w:rsidRPr="00C900B4">
              <w:rPr>
                <w:rFonts w:cs="Arial"/>
              </w:rPr>
              <w:t>Private hire vehicle new / renewal</w:t>
            </w:r>
          </w:p>
        </w:tc>
        <w:tc>
          <w:tcPr>
            <w:tcW w:w="3327" w:type="dxa"/>
          </w:tcPr>
          <w:p w14:paraId="6E41C46D" w14:textId="77777777" w:rsidR="00CC4CC3" w:rsidRPr="00B14183" w:rsidRDefault="00CC4CC3" w:rsidP="00A96C9A">
            <w:pPr>
              <w:jc w:val="right"/>
              <w:rPr>
                <w:rFonts w:cs="Arial"/>
              </w:rPr>
            </w:pPr>
            <w:r w:rsidRPr="00B14183">
              <w:rPr>
                <w:rFonts w:cs="Arial"/>
              </w:rPr>
              <w:t>£307/£273</w:t>
            </w:r>
          </w:p>
          <w:p w14:paraId="6C198EAB" w14:textId="77777777" w:rsidR="00CC4CC3" w:rsidRPr="00C900B4" w:rsidRDefault="00CC4CC3" w:rsidP="00A96C9A">
            <w:pPr>
              <w:jc w:val="right"/>
              <w:rPr>
                <w:rFonts w:cs="Arial"/>
              </w:rPr>
            </w:pPr>
          </w:p>
        </w:tc>
      </w:tr>
      <w:tr w:rsidR="00CC4CC3" w:rsidRPr="00C900B4" w14:paraId="4DCC60FC" w14:textId="77777777" w:rsidTr="00A96C9A">
        <w:trPr>
          <w:trHeight w:val="267"/>
        </w:trPr>
        <w:tc>
          <w:tcPr>
            <w:tcW w:w="5315" w:type="dxa"/>
          </w:tcPr>
          <w:p w14:paraId="6171FACC" w14:textId="77777777" w:rsidR="00CC4CC3" w:rsidRPr="00C900B4" w:rsidRDefault="00CC4CC3" w:rsidP="00A96C9A">
            <w:pPr>
              <w:rPr>
                <w:rFonts w:cs="Arial"/>
              </w:rPr>
            </w:pPr>
            <w:r w:rsidRPr="00C900B4">
              <w:rPr>
                <w:rFonts w:cs="Arial"/>
              </w:rPr>
              <w:t xml:space="preserve">Home to School vehicle new / renewal </w:t>
            </w:r>
          </w:p>
        </w:tc>
        <w:tc>
          <w:tcPr>
            <w:tcW w:w="3327" w:type="dxa"/>
          </w:tcPr>
          <w:p w14:paraId="6CAF51A7" w14:textId="77777777" w:rsidR="00CC4CC3" w:rsidRPr="00B14183" w:rsidRDefault="00CC4CC3" w:rsidP="00A96C9A">
            <w:pPr>
              <w:jc w:val="right"/>
              <w:rPr>
                <w:rFonts w:cs="Arial"/>
              </w:rPr>
            </w:pPr>
            <w:r w:rsidRPr="00B14183">
              <w:rPr>
                <w:rFonts w:cs="Arial"/>
              </w:rPr>
              <w:t>£171</w:t>
            </w:r>
          </w:p>
          <w:p w14:paraId="1CDC62F0" w14:textId="77777777" w:rsidR="00CC4CC3" w:rsidRPr="00C900B4" w:rsidRDefault="00CC4CC3" w:rsidP="00A96C9A">
            <w:pPr>
              <w:jc w:val="right"/>
              <w:rPr>
                <w:rFonts w:cs="Arial"/>
              </w:rPr>
            </w:pPr>
          </w:p>
        </w:tc>
      </w:tr>
      <w:tr w:rsidR="00CC4CC3" w:rsidRPr="00C900B4" w14:paraId="7776C4F7" w14:textId="77777777" w:rsidTr="00A96C9A">
        <w:trPr>
          <w:trHeight w:val="301"/>
        </w:trPr>
        <w:tc>
          <w:tcPr>
            <w:tcW w:w="5315" w:type="dxa"/>
          </w:tcPr>
          <w:p w14:paraId="34B18E8C" w14:textId="77777777" w:rsidR="00CC4CC3" w:rsidRPr="00C900B4" w:rsidRDefault="00CC4CC3" w:rsidP="00A96C9A">
            <w:pPr>
              <w:rPr>
                <w:rFonts w:cs="Arial"/>
              </w:rPr>
            </w:pPr>
            <w:r w:rsidRPr="00C900B4">
              <w:rPr>
                <w:rFonts w:cs="Arial"/>
              </w:rPr>
              <w:t>Private hire vehicle with dispensation</w:t>
            </w:r>
            <w:r>
              <w:rPr>
                <w:rFonts w:cs="Arial"/>
              </w:rPr>
              <w:t xml:space="preserve"> new/ renewal</w:t>
            </w:r>
          </w:p>
        </w:tc>
        <w:tc>
          <w:tcPr>
            <w:tcW w:w="3327" w:type="dxa"/>
          </w:tcPr>
          <w:p w14:paraId="1AB65306" w14:textId="77777777" w:rsidR="00CC4CC3" w:rsidRPr="00B14183" w:rsidRDefault="00CC4CC3" w:rsidP="00A96C9A">
            <w:pPr>
              <w:jc w:val="right"/>
              <w:rPr>
                <w:rFonts w:cs="Arial"/>
              </w:rPr>
            </w:pPr>
            <w:r w:rsidRPr="00B14183">
              <w:rPr>
                <w:rFonts w:cs="Arial"/>
              </w:rPr>
              <w:t>£307/£273</w:t>
            </w:r>
          </w:p>
          <w:p w14:paraId="5F9BCF91" w14:textId="77777777" w:rsidR="00CC4CC3" w:rsidRPr="00C900B4" w:rsidRDefault="00CC4CC3" w:rsidP="00A96C9A">
            <w:pPr>
              <w:jc w:val="right"/>
              <w:rPr>
                <w:rFonts w:cs="Arial"/>
              </w:rPr>
            </w:pPr>
          </w:p>
        </w:tc>
      </w:tr>
      <w:tr w:rsidR="00CC4CC3" w:rsidRPr="00C900B4" w14:paraId="29079A49" w14:textId="77777777" w:rsidTr="00A96C9A">
        <w:trPr>
          <w:trHeight w:val="301"/>
        </w:trPr>
        <w:tc>
          <w:tcPr>
            <w:tcW w:w="5315" w:type="dxa"/>
          </w:tcPr>
          <w:p w14:paraId="226F2906" w14:textId="77777777" w:rsidR="00CC4CC3" w:rsidRPr="00C900B4" w:rsidRDefault="00CC4CC3" w:rsidP="00A96C9A">
            <w:pPr>
              <w:rPr>
                <w:rFonts w:cs="Arial"/>
              </w:rPr>
            </w:pPr>
            <w:r>
              <w:rPr>
                <w:rFonts w:cs="Arial"/>
              </w:rPr>
              <w:t xml:space="preserve">Temporary Vehicle Licence </w:t>
            </w:r>
            <w:r w:rsidRPr="00F7061C">
              <w:rPr>
                <w:rFonts w:cs="Arial"/>
                <w:sz w:val="18"/>
                <w:szCs w:val="18"/>
              </w:rPr>
              <w:t>(issued up to 3 months Maximum)</w:t>
            </w:r>
            <w:r>
              <w:rPr>
                <w:rFonts w:cs="Arial"/>
              </w:rPr>
              <w:t xml:space="preserve"> </w:t>
            </w:r>
          </w:p>
        </w:tc>
        <w:tc>
          <w:tcPr>
            <w:tcW w:w="3327" w:type="dxa"/>
          </w:tcPr>
          <w:p w14:paraId="1D85973C" w14:textId="77777777" w:rsidR="00CC4CC3" w:rsidRPr="00C900B4" w:rsidRDefault="00CC4CC3" w:rsidP="00A96C9A">
            <w:pPr>
              <w:jc w:val="right"/>
              <w:rPr>
                <w:rFonts w:cs="Arial"/>
              </w:rPr>
            </w:pPr>
            <w:r w:rsidRPr="00B14183">
              <w:rPr>
                <w:rFonts w:cs="Arial"/>
              </w:rPr>
              <w:t>£273</w:t>
            </w:r>
          </w:p>
        </w:tc>
      </w:tr>
    </w:tbl>
    <w:p w14:paraId="7CE3F64F" w14:textId="77777777" w:rsidR="007E528C" w:rsidRDefault="007E528C" w:rsidP="007E528C">
      <w:pPr>
        <w:jc w:val="both"/>
        <w:rPr>
          <w:rFonts w:cs="Arial"/>
          <w:szCs w:val="22"/>
        </w:rPr>
      </w:pPr>
    </w:p>
    <w:p w14:paraId="506D2C5C" w14:textId="77777777" w:rsidR="002200A0" w:rsidRPr="002200A0" w:rsidRDefault="002200A0" w:rsidP="002200A0">
      <w:pPr>
        <w:rPr>
          <w:rFonts w:ascii="Arial" w:hAnsi="Arial" w:cs="Arial"/>
          <w:b/>
        </w:rPr>
      </w:pPr>
      <w:r w:rsidRPr="002200A0">
        <w:rPr>
          <w:rFonts w:ascii="Arial" w:hAnsi="Arial" w:cs="Arial"/>
          <w:b/>
        </w:rPr>
        <w:t>Private Hire Operator Licence</w:t>
      </w:r>
    </w:p>
    <w:p w14:paraId="074BA269" w14:textId="77777777" w:rsidR="002200A0" w:rsidRPr="002200A0" w:rsidRDefault="002200A0" w:rsidP="002200A0">
      <w:pPr>
        <w:rPr>
          <w:rFonts w:ascii="Arial" w:hAnsi="Arial" w:cs="Arial"/>
        </w:rPr>
      </w:pPr>
    </w:p>
    <w:tbl>
      <w:tblPr>
        <w:tblStyle w:val="TableGrid"/>
        <w:tblW w:w="7366" w:type="dxa"/>
        <w:tblLayout w:type="fixed"/>
        <w:tblLook w:val="04A0" w:firstRow="1" w:lastRow="0" w:firstColumn="1" w:lastColumn="0" w:noHBand="0" w:noVBand="1"/>
      </w:tblPr>
      <w:tblGrid>
        <w:gridCol w:w="3397"/>
        <w:gridCol w:w="1560"/>
        <w:gridCol w:w="1134"/>
        <w:gridCol w:w="1275"/>
      </w:tblGrid>
      <w:tr w:rsidR="00CC4CC3" w:rsidRPr="00826F90" w14:paraId="2E17E557" w14:textId="77777777" w:rsidTr="00A96C9A">
        <w:trPr>
          <w:trHeight w:val="250"/>
        </w:trPr>
        <w:tc>
          <w:tcPr>
            <w:tcW w:w="3397" w:type="dxa"/>
          </w:tcPr>
          <w:p w14:paraId="40A104FE" w14:textId="77777777" w:rsidR="00CC4CC3" w:rsidRPr="00826F90" w:rsidRDefault="00CC4CC3" w:rsidP="00A96C9A">
            <w:pPr>
              <w:rPr>
                <w:rFonts w:ascii="Arial" w:hAnsi="Arial" w:cs="Arial"/>
              </w:rPr>
            </w:pPr>
          </w:p>
        </w:tc>
        <w:tc>
          <w:tcPr>
            <w:tcW w:w="1560" w:type="dxa"/>
          </w:tcPr>
          <w:p w14:paraId="7C49508C" w14:textId="77777777" w:rsidR="00CC4CC3" w:rsidRPr="00826F90" w:rsidRDefault="00CC4CC3" w:rsidP="00A96C9A">
            <w:pPr>
              <w:rPr>
                <w:rFonts w:ascii="Arial" w:hAnsi="Arial" w:cs="Arial"/>
              </w:rPr>
            </w:pPr>
            <w:r w:rsidRPr="00826F90">
              <w:rPr>
                <w:rFonts w:ascii="Arial" w:hAnsi="Arial" w:cs="Arial"/>
              </w:rPr>
              <w:t>Number of vehicles</w:t>
            </w:r>
          </w:p>
        </w:tc>
        <w:tc>
          <w:tcPr>
            <w:tcW w:w="1134" w:type="dxa"/>
          </w:tcPr>
          <w:p w14:paraId="23A4079E" w14:textId="77777777" w:rsidR="00CC4CC3" w:rsidRPr="00826F90" w:rsidRDefault="00CC4CC3" w:rsidP="00A96C9A">
            <w:pPr>
              <w:rPr>
                <w:rFonts w:ascii="Arial" w:hAnsi="Arial" w:cs="Arial"/>
              </w:rPr>
            </w:pPr>
            <w:r w:rsidRPr="00826F90">
              <w:rPr>
                <w:rFonts w:ascii="Arial" w:hAnsi="Arial" w:cs="Arial"/>
              </w:rPr>
              <w:t>New</w:t>
            </w:r>
          </w:p>
        </w:tc>
        <w:tc>
          <w:tcPr>
            <w:tcW w:w="1275" w:type="dxa"/>
          </w:tcPr>
          <w:p w14:paraId="66C4FC82" w14:textId="77777777" w:rsidR="00CC4CC3" w:rsidRPr="00826F90" w:rsidRDefault="00CC4CC3" w:rsidP="00A96C9A">
            <w:pPr>
              <w:rPr>
                <w:rFonts w:ascii="Arial" w:hAnsi="Arial" w:cs="Arial"/>
              </w:rPr>
            </w:pPr>
            <w:r w:rsidRPr="00826F90">
              <w:rPr>
                <w:rFonts w:ascii="Arial" w:hAnsi="Arial" w:cs="Arial"/>
              </w:rPr>
              <w:t>Renewal</w:t>
            </w:r>
          </w:p>
        </w:tc>
      </w:tr>
      <w:tr w:rsidR="00CC4CC3" w:rsidRPr="00826F90" w14:paraId="36139239" w14:textId="77777777" w:rsidTr="00A96C9A">
        <w:trPr>
          <w:trHeight w:val="236"/>
        </w:trPr>
        <w:tc>
          <w:tcPr>
            <w:tcW w:w="3397" w:type="dxa"/>
            <w:vMerge w:val="restart"/>
          </w:tcPr>
          <w:p w14:paraId="65C5F379" w14:textId="77777777" w:rsidR="00CC4CC3" w:rsidRDefault="00CC4CC3" w:rsidP="00A96C9A">
            <w:pPr>
              <w:rPr>
                <w:rFonts w:asciiTheme="majorHAnsi" w:hAnsiTheme="majorHAnsi" w:cstheme="majorHAnsi"/>
              </w:rPr>
            </w:pPr>
            <w:r>
              <w:rPr>
                <w:rFonts w:asciiTheme="majorHAnsi" w:hAnsiTheme="majorHAnsi" w:cstheme="majorHAnsi"/>
              </w:rPr>
              <w:t>New</w:t>
            </w:r>
          </w:p>
          <w:p w14:paraId="761A63FC" w14:textId="77777777" w:rsidR="00CC4CC3" w:rsidRPr="00F06F06" w:rsidRDefault="00CC4CC3" w:rsidP="00A96C9A">
            <w:pPr>
              <w:rPr>
                <w:rFonts w:asciiTheme="majorHAnsi" w:hAnsiTheme="majorHAnsi" w:cstheme="majorHAnsi"/>
              </w:rPr>
            </w:pPr>
            <w:r w:rsidRPr="00F06F06">
              <w:rPr>
                <w:rFonts w:asciiTheme="majorHAnsi" w:hAnsiTheme="majorHAnsi" w:cstheme="majorHAnsi"/>
              </w:rPr>
              <w:t xml:space="preserve">Per vehicle calculation of 3.5 hours (at £64.00 hourly rate) plus an hour per year (years </w:t>
            </w:r>
            <w:r w:rsidRPr="00F06F06">
              <w:rPr>
                <w:rFonts w:asciiTheme="majorHAnsi" w:hAnsiTheme="majorHAnsi" w:cstheme="majorHAnsi"/>
              </w:rPr>
              <w:lastRenderedPageBreak/>
              <w:t>2-5) for first vehicle, plus 15 minutes per additional vehicle per years (years 1-5) up to a maximum of 20 vehicles</w:t>
            </w:r>
          </w:p>
          <w:p w14:paraId="6D7AC47D" w14:textId="77777777" w:rsidR="00CC4CC3" w:rsidRDefault="00CC4CC3" w:rsidP="00A96C9A">
            <w:pPr>
              <w:rPr>
                <w:rFonts w:ascii="Arial" w:hAnsi="Arial" w:cs="Arial"/>
              </w:rPr>
            </w:pPr>
          </w:p>
          <w:p w14:paraId="19D0D8B0" w14:textId="77777777" w:rsidR="00CC4CC3" w:rsidRDefault="00CC4CC3" w:rsidP="00A96C9A">
            <w:pPr>
              <w:rPr>
                <w:rFonts w:ascii="Arial" w:hAnsi="Arial" w:cs="Arial"/>
              </w:rPr>
            </w:pPr>
            <w:r>
              <w:rPr>
                <w:rFonts w:ascii="Arial" w:hAnsi="Arial" w:cs="Arial"/>
              </w:rPr>
              <w:t>Renewal</w:t>
            </w:r>
          </w:p>
          <w:p w14:paraId="7C15935A" w14:textId="77777777" w:rsidR="00CC4CC3" w:rsidRPr="00F06F06" w:rsidRDefault="00CC4CC3" w:rsidP="00A96C9A">
            <w:pPr>
              <w:rPr>
                <w:rFonts w:cstheme="minorHAnsi"/>
              </w:rPr>
            </w:pPr>
            <w:r w:rsidRPr="00F06F06">
              <w:rPr>
                <w:rFonts w:cstheme="minorHAnsi"/>
              </w:rPr>
              <w:t>Per vehicle calculation of 1.5 hours (at £64 hourly rate) plus an hour per year (years 2-5) for first vehicle, plus 15 minutes per additional vehicle per years (years 1-5) up to a maximum of 20 vehicles</w:t>
            </w:r>
          </w:p>
          <w:p w14:paraId="62C2E578" w14:textId="77777777" w:rsidR="00CC4CC3" w:rsidRPr="00826F90" w:rsidRDefault="00CC4CC3" w:rsidP="00A96C9A">
            <w:pPr>
              <w:rPr>
                <w:rFonts w:ascii="Arial" w:hAnsi="Arial" w:cs="Arial"/>
              </w:rPr>
            </w:pPr>
          </w:p>
        </w:tc>
        <w:tc>
          <w:tcPr>
            <w:tcW w:w="1560" w:type="dxa"/>
          </w:tcPr>
          <w:p w14:paraId="69EA1D82" w14:textId="77777777" w:rsidR="00CC4CC3" w:rsidRPr="00826F90" w:rsidRDefault="00CC4CC3" w:rsidP="00A96C9A">
            <w:pPr>
              <w:rPr>
                <w:rFonts w:ascii="Arial" w:hAnsi="Arial" w:cs="Arial"/>
              </w:rPr>
            </w:pPr>
            <w:r w:rsidRPr="00826F90">
              <w:rPr>
                <w:rFonts w:ascii="Arial" w:hAnsi="Arial" w:cs="Arial"/>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AFA2A"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£512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DBF359"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£375</w:t>
            </w:r>
          </w:p>
        </w:tc>
      </w:tr>
      <w:tr w:rsidR="00CC4CC3" w:rsidRPr="00826F90" w14:paraId="7D04D1D5" w14:textId="77777777" w:rsidTr="00A96C9A">
        <w:trPr>
          <w:trHeight w:val="250"/>
        </w:trPr>
        <w:tc>
          <w:tcPr>
            <w:tcW w:w="3397" w:type="dxa"/>
            <w:vMerge/>
          </w:tcPr>
          <w:p w14:paraId="27DD55F9" w14:textId="77777777" w:rsidR="00CC4CC3" w:rsidRPr="00826F90" w:rsidRDefault="00CC4CC3" w:rsidP="00A96C9A">
            <w:pPr>
              <w:rPr>
                <w:rFonts w:ascii="Arial" w:hAnsi="Arial" w:cs="Arial"/>
              </w:rPr>
            </w:pPr>
          </w:p>
        </w:tc>
        <w:tc>
          <w:tcPr>
            <w:tcW w:w="1560" w:type="dxa"/>
          </w:tcPr>
          <w:p w14:paraId="7137ECF3" w14:textId="77777777" w:rsidR="00CC4CC3" w:rsidRPr="00826F90" w:rsidRDefault="00CC4CC3" w:rsidP="00A96C9A">
            <w:pPr>
              <w:rPr>
                <w:rFonts w:ascii="Arial" w:hAnsi="Arial" w:cs="Arial"/>
              </w:rPr>
            </w:pPr>
            <w:r w:rsidRPr="00826F90">
              <w:rPr>
                <w:rFonts w:ascii="Arial" w:hAnsi="Arial" w:cs="Arial"/>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8A08A9"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£597</w:t>
            </w:r>
          </w:p>
        </w:tc>
        <w:tc>
          <w:tcPr>
            <w:tcW w:w="1275" w:type="dxa"/>
            <w:tcBorders>
              <w:top w:val="nil"/>
              <w:left w:val="single" w:sz="4" w:space="0" w:color="auto"/>
              <w:bottom w:val="single" w:sz="4" w:space="0" w:color="auto"/>
              <w:right w:val="single" w:sz="4" w:space="0" w:color="auto"/>
            </w:tcBorders>
            <w:shd w:val="clear" w:color="auto" w:fill="auto"/>
            <w:vAlign w:val="center"/>
          </w:tcPr>
          <w:p w14:paraId="0F7B01E8"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£461</w:t>
            </w:r>
          </w:p>
        </w:tc>
      </w:tr>
      <w:tr w:rsidR="00CC4CC3" w:rsidRPr="00826F90" w14:paraId="00A78377" w14:textId="77777777" w:rsidTr="00A96C9A">
        <w:trPr>
          <w:trHeight w:val="236"/>
        </w:trPr>
        <w:tc>
          <w:tcPr>
            <w:tcW w:w="3397" w:type="dxa"/>
            <w:vMerge/>
          </w:tcPr>
          <w:p w14:paraId="3CF2CD31" w14:textId="77777777" w:rsidR="00CC4CC3" w:rsidRPr="00826F90" w:rsidRDefault="00CC4CC3" w:rsidP="00A96C9A">
            <w:pPr>
              <w:rPr>
                <w:rFonts w:ascii="Arial" w:hAnsi="Arial" w:cs="Arial"/>
              </w:rPr>
            </w:pPr>
          </w:p>
        </w:tc>
        <w:tc>
          <w:tcPr>
            <w:tcW w:w="1560" w:type="dxa"/>
          </w:tcPr>
          <w:p w14:paraId="49B6B188" w14:textId="77777777" w:rsidR="00CC4CC3" w:rsidRPr="00826F90" w:rsidRDefault="00CC4CC3" w:rsidP="00A96C9A">
            <w:pPr>
              <w:rPr>
                <w:rFonts w:ascii="Arial" w:hAnsi="Arial" w:cs="Arial"/>
              </w:rPr>
            </w:pPr>
            <w:r w:rsidRPr="00826F90">
              <w:rPr>
                <w:rFonts w:ascii="Arial" w:hAnsi="Arial" w:cs="Arial"/>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C59B5B"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£682</w:t>
            </w:r>
          </w:p>
        </w:tc>
        <w:tc>
          <w:tcPr>
            <w:tcW w:w="1275" w:type="dxa"/>
            <w:tcBorders>
              <w:top w:val="nil"/>
              <w:left w:val="single" w:sz="4" w:space="0" w:color="auto"/>
              <w:bottom w:val="single" w:sz="4" w:space="0" w:color="auto"/>
              <w:right w:val="single" w:sz="4" w:space="0" w:color="auto"/>
            </w:tcBorders>
            <w:shd w:val="clear" w:color="auto" w:fill="auto"/>
            <w:vAlign w:val="center"/>
          </w:tcPr>
          <w:p w14:paraId="37E5A995"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£546</w:t>
            </w:r>
          </w:p>
        </w:tc>
      </w:tr>
      <w:tr w:rsidR="00CC4CC3" w:rsidRPr="00826F90" w14:paraId="38830BB2" w14:textId="77777777" w:rsidTr="00A96C9A">
        <w:trPr>
          <w:trHeight w:val="250"/>
        </w:trPr>
        <w:tc>
          <w:tcPr>
            <w:tcW w:w="3397" w:type="dxa"/>
            <w:vMerge/>
          </w:tcPr>
          <w:p w14:paraId="356B0C00" w14:textId="77777777" w:rsidR="00CC4CC3" w:rsidRPr="00826F90" w:rsidRDefault="00CC4CC3" w:rsidP="00A96C9A">
            <w:pPr>
              <w:rPr>
                <w:rFonts w:ascii="Arial" w:hAnsi="Arial" w:cs="Arial"/>
              </w:rPr>
            </w:pPr>
          </w:p>
        </w:tc>
        <w:tc>
          <w:tcPr>
            <w:tcW w:w="1560" w:type="dxa"/>
          </w:tcPr>
          <w:p w14:paraId="66B83670" w14:textId="77777777" w:rsidR="00CC4CC3" w:rsidRPr="00826F90" w:rsidRDefault="00CC4CC3" w:rsidP="00A96C9A">
            <w:pPr>
              <w:rPr>
                <w:rFonts w:ascii="Arial" w:hAnsi="Arial" w:cs="Arial"/>
              </w:rPr>
            </w:pPr>
            <w:r w:rsidRPr="00826F90">
              <w:rPr>
                <w:rFonts w:ascii="Arial" w:hAnsi="Arial" w:cs="Arial"/>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0D5535"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£768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8AA905"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£631</w:t>
            </w:r>
          </w:p>
        </w:tc>
      </w:tr>
      <w:tr w:rsidR="00CC4CC3" w:rsidRPr="00826F90" w14:paraId="55569041" w14:textId="77777777" w:rsidTr="00A96C9A">
        <w:trPr>
          <w:trHeight w:val="236"/>
        </w:trPr>
        <w:tc>
          <w:tcPr>
            <w:tcW w:w="3397" w:type="dxa"/>
            <w:vMerge/>
          </w:tcPr>
          <w:p w14:paraId="16646E34" w14:textId="77777777" w:rsidR="00CC4CC3" w:rsidRPr="00826F90" w:rsidRDefault="00CC4CC3" w:rsidP="00A96C9A">
            <w:pPr>
              <w:rPr>
                <w:rFonts w:ascii="Arial" w:hAnsi="Arial" w:cs="Arial"/>
              </w:rPr>
            </w:pPr>
          </w:p>
        </w:tc>
        <w:tc>
          <w:tcPr>
            <w:tcW w:w="1560" w:type="dxa"/>
          </w:tcPr>
          <w:p w14:paraId="25E47FC2" w14:textId="77777777" w:rsidR="00CC4CC3" w:rsidRPr="00826F90" w:rsidRDefault="00CC4CC3" w:rsidP="00A96C9A">
            <w:pPr>
              <w:rPr>
                <w:rFonts w:ascii="Arial" w:hAnsi="Arial" w:cs="Arial"/>
              </w:rPr>
            </w:pPr>
            <w:r w:rsidRPr="00826F90">
              <w:rPr>
                <w:rFonts w:ascii="Arial" w:hAnsi="Arial" w:cs="Arial"/>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05F82A"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£853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0E300F"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£717</w:t>
            </w:r>
          </w:p>
        </w:tc>
      </w:tr>
      <w:tr w:rsidR="00CC4CC3" w:rsidRPr="00826F90" w14:paraId="2F4A88BE" w14:textId="77777777" w:rsidTr="00A96C9A">
        <w:trPr>
          <w:trHeight w:val="250"/>
        </w:trPr>
        <w:tc>
          <w:tcPr>
            <w:tcW w:w="3397" w:type="dxa"/>
            <w:vMerge/>
          </w:tcPr>
          <w:p w14:paraId="74E90186" w14:textId="77777777" w:rsidR="00CC4CC3" w:rsidRPr="00826F90" w:rsidRDefault="00CC4CC3" w:rsidP="00A96C9A">
            <w:pPr>
              <w:rPr>
                <w:rFonts w:ascii="Arial" w:hAnsi="Arial" w:cs="Arial"/>
              </w:rPr>
            </w:pPr>
          </w:p>
        </w:tc>
        <w:tc>
          <w:tcPr>
            <w:tcW w:w="1560" w:type="dxa"/>
          </w:tcPr>
          <w:p w14:paraId="29EC71CF" w14:textId="77777777" w:rsidR="00CC4CC3" w:rsidRPr="00826F90" w:rsidRDefault="00CC4CC3" w:rsidP="00A96C9A">
            <w:pPr>
              <w:rPr>
                <w:rFonts w:ascii="Arial" w:hAnsi="Arial" w:cs="Arial"/>
              </w:rPr>
            </w:pPr>
            <w:r w:rsidRPr="00826F90">
              <w:rPr>
                <w:rFonts w:ascii="Arial" w:hAnsi="Arial" w:cs="Arial"/>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D6DD0D"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£938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EB272C"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£802</w:t>
            </w:r>
          </w:p>
        </w:tc>
      </w:tr>
      <w:tr w:rsidR="00CC4CC3" w:rsidRPr="00826F90" w14:paraId="4FF60D6B" w14:textId="77777777" w:rsidTr="00A96C9A">
        <w:trPr>
          <w:trHeight w:val="236"/>
        </w:trPr>
        <w:tc>
          <w:tcPr>
            <w:tcW w:w="3397" w:type="dxa"/>
            <w:vMerge/>
          </w:tcPr>
          <w:p w14:paraId="596CBEFB" w14:textId="77777777" w:rsidR="00CC4CC3" w:rsidRPr="00826F90" w:rsidRDefault="00CC4CC3" w:rsidP="00A96C9A">
            <w:pPr>
              <w:rPr>
                <w:rFonts w:ascii="Arial" w:hAnsi="Arial" w:cs="Arial"/>
              </w:rPr>
            </w:pPr>
          </w:p>
        </w:tc>
        <w:tc>
          <w:tcPr>
            <w:tcW w:w="1560" w:type="dxa"/>
          </w:tcPr>
          <w:p w14:paraId="3BE79AD8" w14:textId="77777777" w:rsidR="00CC4CC3" w:rsidRPr="00826F90" w:rsidRDefault="00CC4CC3" w:rsidP="00A96C9A">
            <w:pPr>
              <w:rPr>
                <w:rFonts w:ascii="Arial" w:hAnsi="Arial" w:cs="Arial"/>
              </w:rPr>
            </w:pPr>
            <w:r w:rsidRPr="00826F90">
              <w:rPr>
                <w:rFonts w:ascii="Arial" w:hAnsi="Arial" w:cs="Arial"/>
              </w:rPr>
              <w:t>7</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2C2D61"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£1024</w:t>
            </w:r>
          </w:p>
        </w:tc>
        <w:tc>
          <w:tcPr>
            <w:tcW w:w="1275" w:type="dxa"/>
            <w:tcBorders>
              <w:top w:val="nil"/>
              <w:left w:val="single" w:sz="4" w:space="0" w:color="auto"/>
              <w:bottom w:val="single" w:sz="4" w:space="0" w:color="auto"/>
              <w:right w:val="single" w:sz="4" w:space="0" w:color="auto"/>
            </w:tcBorders>
            <w:shd w:val="clear" w:color="auto" w:fill="auto"/>
            <w:vAlign w:val="center"/>
          </w:tcPr>
          <w:p w14:paraId="1CD5C512"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£887</w:t>
            </w:r>
          </w:p>
        </w:tc>
      </w:tr>
      <w:tr w:rsidR="00CC4CC3" w:rsidRPr="00826F90" w14:paraId="7DA0B8BB" w14:textId="77777777" w:rsidTr="00A96C9A">
        <w:trPr>
          <w:trHeight w:val="250"/>
        </w:trPr>
        <w:tc>
          <w:tcPr>
            <w:tcW w:w="3397" w:type="dxa"/>
            <w:vMerge/>
          </w:tcPr>
          <w:p w14:paraId="2D6D9F75" w14:textId="77777777" w:rsidR="00CC4CC3" w:rsidRPr="00826F90" w:rsidRDefault="00CC4CC3" w:rsidP="00A96C9A">
            <w:pPr>
              <w:rPr>
                <w:rFonts w:ascii="Arial" w:hAnsi="Arial" w:cs="Arial"/>
              </w:rPr>
            </w:pPr>
          </w:p>
        </w:tc>
        <w:tc>
          <w:tcPr>
            <w:tcW w:w="1560" w:type="dxa"/>
          </w:tcPr>
          <w:p w14:paraId="618B2052" w14:textId="77777777" w:rsidR="00CC4CC3" w:rsidRPr="00826F90" w:rsidRDefault="00CC4CC3" w:rsidP="00A96C9A">
            <w:pPr>
              <w:rPr>
                <w:rFonts w:ascii="Arial" w:hAnsi="Arial" w:cs="Arial"/>
              </w:rPr>
            </w:pPr>
            <w:r w:rsidRPr="00826F90">
              <w:rPr>
                <w:rFonts w:ascii="Arial" w:hAnsi="Arial" w:cs="Arial"/>
              </w:rPr>
              <w:t>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63DB4E"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£1109</w:t>
            </w:r>
          </w:p>
        </w:tc>
        <w:tc>
          <w:tcPr>
            <w:tcW w:w="1275" w:type="dxa"/>
            <w:tcBorders>
              <w:top w:val="nil"/>
              <w:left w:val="single" w:sz="4" w:space="0" w:color="auto"/>
              <w:bottom w:val="single" w:sz="4" w:space="0" w:color="auto"/>
              <w:right w:val="single" w:sz="4" w:space="0" w:color="auto"/>
            </w:tcBorders>
            <w:shd w:val="clear" w:color="auto" w:fill="auto"/>
            <w:vAlign w:val="center"/>
          </w:tcPr>
          <w:p w14:paraId="5EE1204B"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£973</w:t>
            </w:r>
          </w:p>
        </w:tc>
      </w:tr>
      <w:tr w:rsidR="00CC4CC3" w:rsidRPr="00826F90" w14:paraId="71575C50" w14:textId="77777777" w:rsidTr="00A96C9A">
        <w:trPr>
          <w:trHeight w:val="236"/>
        </w:trPr>
        <w:tc>
          <w:tcPr>
            <w:tcW w:w="3397" w:type="dxa"/>
            <w:vMerge/>
          </w:tcPr>
          <w:p w14:paraId="19DBD5D2" w14:textId="77777777" w:rsidR="00CC4CC3" w:rsidRPr="00826F90" w:rsidRDefault="00CC4CC3" w:rsidP="00A96C9A">
            <w:pPr>
              <w:rPr>
                <w:rFonts w:ascii="Arial" w:hAnsi="Arial" w:cs="Arial"/>
              </w:rPr>
            </w:pPr>
          </w:p>
        </w:tc>
        <w:tc>
          <w:tcPr>
            <w:tcW w:w="1560" w:type="dxa"/>
          </w:tcPr>
          <w:p w14:paraId="21A6A4BE" w14:textId="77777777" w:rsidR="00CC4CC3" w:rsidRPr="00826F90" w:rsidRDefault="00CC4CC3" w:rsidP="00A96C9A">
            <w:pPr>
              <w:rPr>
                <w:rFonts w:ascii="Arial" w:hAnsi="Arial" w:cs="Arial"/>
              </w:rPr>
            </w:pPr>
            <w:r w:rsidRPr="00826F90">
              <w:rPr>
                <w:rFonts w:ascii="Arial" w:hAnsi="Arial" w:cs="Arial"/>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AE37E"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£1194</w:t>
            </w:r>
          </w:p>
        </w:tc>
        <w:tc>
          <w:tcPr>
            <w:tcW w:w="1275" w:type="dxa"/>
            <w:tcBorders>
              <w:top w:val="nil"/>
              <w:left w:val="single" w:sz="4" w:space="0" w:color="auto"/>
              <w:bottom w:val="single" w:sz="4" w:space="0" w:color="auto"/>
              <w:right w:val="single" w:sz="4" w:space="0" w:color="auto"/>
            </w:tcBorders>
            <w:shd w:val="clear" w:color="auto" w:fill="auto"/>
            <w:vAlign w:val="center"/>
          </w:tcPr>
          <w:p w14:paraId="69C623C6"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£1058</w:t>
            </w:r>
          </w:p>
        </w:tc>
      </w:tr>
      <w:tr w:rsidR="00CC4CC3" w:rsidRPr="00826F90" w14:paraId="421E3B46" w14:textId="77777777" w:rsidTr="00A96C9A">
        <w:trPr>
          <w:trHeight w:val="250"/>
        </w:trPr>
        <w:tc>
          <w:tcPr>
            <w:tcW w:w="3397" w:type="dxa"/>
            <w:vMerge/>
          </w:tcPr>
          <w:p w14:paraId="3F7D4CCB" w14:textId="77777777" w:rsidR="00CC4CC3" w:rsidRPr="00826F90" w:rsidRDefault="00CC4CC3" w:rsidP="00A96C9A">
            <w:pPr>
              <w:rPr>
                <w:rFonts w:ascii="Arial" w:hAnsi="Arial" w:cs="Arial"/>
              </w:rPr>
            </w:pPr>
          </w:p>
        </w:tc>
        <w:tc>
          <w:tcPr>
            <w:tcW w:w="1560" w:type="dxa"/>
          </w:tcPr>
          <w:p w14:paraId="44F7D898" w14:textId="77777777" w:rsidR="00CC4CC3" w:rsidRPr="00826F90" w:rsidRDefault="00CC4CC3" w:rsidP="00A96C9A">
            <w:pPr>
              <w:rPr>
                <w:rFonts w:ascii="Arial" w:hAnsi="Arial" w:cs="Arial"/>
              </w:rPr>
            </w:pPr>
            <w:r w:rsidRPr="00826F90">
              <w:rPr>
                <w:rFonts w:ascii="Arial" w:hAnsi="Arial" w:cs="Arial"/>
              </w:rPr>
              <w:t>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3D18AE"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£1280</w:t>
            </w:r>
          </w:p>
        </w:tc>
        <w:tc>
          <w:tcPr>
            <w:tcW w:w="1275" w:type="dxa"/>
            <w:tcBorders>
              <w:top w:val="nil"/>
              <w:left w:val="single" w:sz="4" w:space="0" w:color="auto"/>
              <w:bottom w:val="single" w:sz="4" w:space="0" w:color="auto"/>
              <w:right w:val="single" w:sz="4" w:space="0" w:color="auto"/>
            </w:tcBorders>
            <w:shd w:val="clear" w:color="auto" w:fill="auto"/>
            <w:vAlign w:val="center"/>
          </w:tcPr>
          <w:p w14:paraId="09E8C6C5"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£1143</w:t>
            </w:r>
          </w:p>
        </w:tc>
      </w:tr>
      <w:tr w:rsidR="00CC4CC3" w:rsidRPr="00826F90" w14:paraId="6846BEED" w14:textId="77777777" w:rsidTr="00A96C9A">
        <w:trPr>
          <w:trHeight w:val="236"/>
        </w:trPr>
        <w:tc>
          <w:tcPr>
            <w:tcW w:w="3397" w:type="dxa"/>
            <w:vMerge/>
          </w:tcPr>
          <w:p w14:paraId="1CD4BFC1" w14:textId="77777777" w:rsidR="00CC4CC3" w:rsidRPr="00826F90" w:rsidRDefault="00CC4CC3" w:rsidP="00A96C9A">
            <w:pPr>
              <w:rPr>
                <w:rFonts w:ascii="Arial" w:hAnsi="Arial" w:cs="Arial"/>
              </w:rPr>
            </w:pPr>
          </w:p>
        </w:tc>
        <w:tc>
          <w:tcPr>
            <w:tcW w:w="1560" w:type="dxa"/>
          </w:tcPr>
          <w:p w14:paraId="28CD01FE" w14:textId="77777777" w:rsidR="00CC4CC3" w:rsidRPr="00826F90" w:rsidRDefault="00CC4CC3" w:rsidP="00A96C9A">
            <w:pPr>
              <w:rPr>
                <w:rFonts w:ascii="Arial" w:hAnsi="Arial" w:cs="Arial"/>
              </w:rPr>
            </w:pPr>
            <w:r w:rsidRPr="00826F90">
              <w:rPr>
                <w:rFonts w:ascii="Arial" w:hAnsi="Arial" w:cs="Arial"/>
              </w:rPr>
              <w:t>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D22D8F"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£1365</w:t>
            </w:r>
          </w:p>
        </w:tc>
        <w:tc>
          <w:tcPr>
            <w:tcW w:w="1275" w:type="dxa"/>
            <w:tcBorders>
              <w:top w:val="nil"/>
              <w:left w:val="single" w:sz="4" w:space="0" w:color="auto"/>
              <w:bottom w:val="single" w:sz="4" w:space="0" w:color="auto"/>
              <w:right w:val="single" w:sz="4" w:space="0" w:color="auto"/>
            </w:tcBorders>
            <w:shd w:val="clear" w:color="auto" w:fill="auto"/>
            <w:vAlign w:val="center"/>
          </w:tcPr>
          <w:p w14:paraId="292AC14F"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£1229</w:t>
            </w:r>
          </w:p>
        </w:tc>
      </w:tr>
      <w:tr w:rsidR="00CC4CC3" w:rsidRPr="00826F90" w14:paraId="5A4D72C9" w14:textId="77777777" w:rsidTr="00A96C9A">
        <w:trPr>
          <w:trHeight w:val="250"/>
        </w:trPr>
        <w:tc>
          <w:tcPr>
            <w:tcW w:w="3397" w:type="dxa"/>
            <w:vMerge/>
          </w:tcPr>
          <w:p w14:paraId="7D177205" w14:textId="77777777" w:rsidR="00CC4CC3" w:rsidRPr="00826F90" w:rsidRDefault="00CC4CC3" w:rsidP="00A96C9A">
            <w:pPr>
              <w:rPr>
                <w:rFonts w:ascii="Arial" w:hAnsi="Arial" w:cs="Arial"/>
              </w:rPr>
            </w:pPr>
          </w:p>
        </w:tc>
        <w:tc>
          <w:tcPr>
            <w:tcW w:w="1560" w:type="dxa"/>
          </w:tcPr>
          <w:p w14:paraId="077E278D" w14:textId="77777777" w:rsidR="00CC4CC3" w:rsidRPr="00826F90" w:rsidRDefault="00CC4CC3" w:rsidP="00A96C9A">
            <w:pPr>
              <w:rPr>
                <w:rFonts w:ascii="Arial" w:hAnsi="Arial" w:cs="Arial"/>
              </w:rPr>
            </w:pPr>
            <w:r w:rsidRPr="00826F90">
              <w:rPr>
                <w:rFonts w:ascii="Arial" w:hAnsi="Arial" w:cs="Arial"/>
              </w:rPr>
              <w:t>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BFF7E9"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£1450</w:t>
            </w:r>
          </w:p>
        </w:tc>
        <w:tc>
          <w:tcPr>
            <w:tcW w:w="1275" w:type="dxa"/>
            <w:tcBorders>
              <w:top w:val="nil"/>
              <w:left w:val="single" w:sz="4" w:space="0" w:color="auto"/>
              <w:bottom w:val="single" w:sz="4" w:space="0" w:color="auto"/>
              <w:right w:val="single" w:sz="4" w:space="0" w:color="auto"/>
            </w:tcBorders>
            <w:shd w:val="clear" w:color="auto" w:fill="auto"/>
            <w:vAlign w:val="center"/>
          </w:tcPr>
          <w:p w14:paraId="18965527"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£1314</w:t>
            </w:r>
          </w:p>
        </w:tc>
      </w:tr>
      <w:tr w:rsidR="00CC4CC3" w:rsidRPr="00826F90" w14:paraId="40BA2FB3" w14:textId="77777777" w:rsidTr="00A96C9A">
        <w:trPr>
          <w:trHeight w:val="236"/>
        </w:trPr>
        <w:tc>
          <w:tcPr>
            <w:tcW w:w="3397" w:type="dxa"/>
            <w:vMerge/>
          </w:tcPr>
          <w:p w14:paraId="68397D02" w14:textId="77777777" w:rsidR="00CC4CC3" w:rsidRPr="00826F90" w:rsidRDefault="00CC4CC3" w:rsidP="00A96C9A">
            <w:pPr>
              <w:rPr>
                <w:rFonts w:ascii="Arial" w:hAnsi="Arial" w:cs="Arial"/>
              </w:rPr>
            </w:pPr>
          </w:p>
        </w:tc>
        <w:tc>
          <w:tcPr>
            <w:tcW w:w="1560" w:type="dxa"/>
          </w:tcPr>
          <w:p w14:paraId="007D9677" w14:textId="77777777" w:rsidR="00CC4CC3" w:rsidRPr="00826F90" w:rsidRDefault="00CC4CC3" w:rsidP="00A96C9A">
            <w:pPr>
              <w:rPr>
                <w:rFonts w:ascii="Arial" w:hAnsi="Arial" w:cs="Arial"/>
              </w:rPr>
            </w:pPr>
            <w:r w:rsidRPr="00826F90">
              <w:rPr>
                <w:rFonts w:ascii="Arial" w:hAnsi="Arial" w:cs="Arial"/>
              </w:rPr>
              <w:t>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01F372"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£1536</w:t>
            </w:r>
          </w:p>
        </w:tc>
        <w:tc>
          <w:tcPr>
            <w:tcW w:w="1275" w:type="dxa"/>
            <w:tcBorders>
              <w:top w:val="nil"/>
              <w:left w:val="single" w:sz="4" w:space="0" w:color="auto"/>
              <w:bottom w:val="single" w:sz="4" w:space="0" w:color="auto"/>
              <w:right w:val="single" w:sz="4" w:space="0" w:color="auto"/>
            </w:tcBorders>
            <w:shd w:val="clear" w:color="auto" w:fill="auto"/>
            <w:vAlign w:val="center"/>
          </w:tcPr>
          <w:p w14:paraId="7EE560A9"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£1399</w:t>
            </w:r>
          </w:p>
        </w:tc>
      </w:tr>
      <w:tr w:rsidR="00CC4CC3" w:rsidRPr="00826F90" w14:paraId="447B55E2" w14:textId="77777777" w:rsidTr="00A96C9A">
        <w:trPr>
          <w:trHeight w:val="250"/>
        </w:trPr>
        <w:tc>
          <w:tcPr>
            <w:tcW w:w="3397" w:type="dxa"/>
            <w:vMerge/>
          </w:tcPr>
          <w:p w14:paraId="41C4CD0E" w14:textId="77777777" w:rsidR="00CC4CC3" w:rsidRPr="00826F90" w:rsidRDefault="00CC4CC3" w:rsidP="00A96C9A">
            <w:pPr>
              <w:rPr>
                <w:rFonts w:ascii="Arial" w:hAnsi="Arial" w:cs="Arial"/>
              </w:rPr>
            </w:pPr>
          </w:p>
        </w:tc>
        <w:tc>
          <w:tcPr>
            <w:tcW w:w="1560" w:type="dxa"/>
          </w:tcPr>
          <w:p w14:paraId="35FB628F" w14:textId="77777777" w:rsidR="00CC4CC3" w:rsidRPr="00826F90" w:rsidRDefault="00CC4CC3" w:rsidP="00A96C9A">
            <w:pPr>
              <w:rPr>
                <w:rFonts w:ascii="Arial" w:hAnsi="Arial" w:cs="Arial"/>
              </w:rPr>
            </w:pPr>
            <w:r w:rsidRPr="00826F90">
              <w:rPr>
                <w:rFonts w:ascii="Arial" w:hAnsi="Arial" w:cs="Arial"/>
              </w:rPr>
              <w:t>14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00E4F0"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£1621</w:t>
            </w:r>
          </w:p>
        </w:tc>
        <w:tc>
          <w:tcPr>
            <w:tcW w:w="1275" w:type="dxa"/>
            <w:tcBorders>
              <w:top w:val="nil"/>
              <w:left w:val="single" w:sz="4" w:space="0" w:color="auto"/>
              <w:bottom w:val="single" w:sz="4" w:space="0" w:color="auto"/>
              <w:right w:val="single" w:sz="4" w:space="0" w:color="auto"/>
            </w:tcBorders>
            <w:shd w:val="clear" w:color="auto" w:fill="auto"/>
            <w:vAlign w:val="center"/>
          </w:tcPr>
          <w:p w14:paraId="255B8EA0"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£1484</w:t>
            </w:r>
          </w:p>
        </w:tc>
      </w:tr>
      <w:tr w:rsidR="00CC4CC3" w:rsidRPr="00826F90" w14:paraId="574267BF" w14:textId="77777777" w:rsidTr="00A96C9A">
        <w:trPr>
          <w:trHeight w:val="236"/>
        </w:trPr>
        <w:tc>
          <w:tcPr>
            <w:tcW w:w="3397" w:type="dxa"/>
            <w:vMerge/>
          </w:tcPr>
          <w:p w14:paraId="4A9A9D10" w14:textId="77777777" w:rsidR="00CC4CC3" w:rsidRPr="00826F90" w:rsidRDefault="00CC4CC3" w:rsidP="00A96C9A">
            <w:pPr>
              <w:rPr>
                <w:rFonts w:ascii="Arial" w:hAnsi="Arial" w:cs="Arial"/>
              </w:rPr>
            </w:pPr>
          </w:p>
        </w:tc>
        <w:tc>
          <w:tcPr>
            <w:tcW w:w="1560" w:type="dxa"/>
          </w:tcPr>
          <w:p w14:paraId="2888401D" w14:textId="77777777" w:rsidR="00CC4CC3" w:rsidRPr="00826F90" w:rsidRDefault="00CC4CC3" w:rsidP="00A96C9A">
            <w:pPr>
              <w:rPr>
                <w:rFonts w:ascii="Arial" w:hAnsi="Arial" w:cs="Arial"/>
              </w:rPr>
            </w:pPr>
            <w:r w:rsidRPr="00826F90">
              <w:rPr>
                <w:rFonts w:ascii="Arial" w:hAnsi="Arial" w:cs="Arial"/>
              </w:rPr>
              <w:t>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104F16"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£1706</w:t>
            </w:r>
          </w:p>
        </w:tc>
        <w:tc>
          <w:tcPr>
            <w:tcW w:w="1275" w:type="dxa"/>
            <w:tcBorders>
              <w:top w:val="nil"/>
              <w:left w:val="single" w:sz="4" w:space="0" w:color="auto"/>
              <w:bottom w:val="single" w:sz="4" w:space="0" w:color="auto"/>
              <w:right w:val="single" w:sz="4" w:space="0" w:color="auto"/>
            </w:tcBorders>
            <w:shd w:val="clear" w:color="auto" w:fill="auto"/>
            <w:vAlign w:val="center"/>
          </w:tcPr>
          <w:p w14:paraId="22B6BB76"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£1570</w:t>
            </w:r>
          </w:p>
        </w:tc>
      </w:tr>
      <w:tr w:rsidR="00CC4CC3" w:rsidRPr="00826F90" w14:paraId="0ABE0881" w14:textId="77777777" w:rsidTr="00A96C9A">
        <w:trPr>
          <w:trHeight w:val="250"/>
        </w:trPr>
        <w:tc>
          <w:tcPr>
            <w:tcW w:w="3397" w:type="dxa"/>
            <w:vMerge/>
          </w:tcPr>
          <w:p w14:paraId="2992E7F9" w14:textId="77777777" w:rsidR="00CC4CC3" w:rsidRPr="00826F90" w:rsidRDefault="00CC4CC3" w:rsidP="00A96C9A">
            <w:pPr>
              <w:rPr>
                <w:rFonts w:ascii="Arial" w:hAnsi="Arial" w:cs="Arial"/>
              </w:rPr>
            </w:pPr>
          </w:p>
        </w:tc>
        <w:tc>
          <w:tcPr>
            <w:tcW w:w="1560" w:type="dxa"/>
          </w:tcPr>
          <w:p w14:paraId="03DA1048" w14:textId="77777777" w:rsidR="00CC4CC3" w:rsidRPr="00826F90" w:rsidRDefault="00CC4CC3" w:rsidP="00A96C9A">
            <w:pPr>
              <w:rPr>
                <w:rFonts w:ascii="Arial" w:hAnsi="Arial" w:cs="Arial"/>
              </w:rPr>
            </w:pPr>
            <w:r w:rsidRPr="00826F90">
              <w:rPr>
                <w:rFonts w:ascii="Arial" w:hAnsi="Arial" w:cs="Arial"/>
              </w:rPr>
              <w:t>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AF3EF2"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£1792</w:t>
            </w:r>
          </w:p>
        </w:tc>
        <w:tc>
          <w:tcPr>
            <w:tcW w:w="1275" w:type="dxa"/>
            <w:tcBorders>
              <w:top w:val="nil"/>
              <w:left w:val="single" w:sz="4" w:space="0" w:color="auto"/>
              <w:bottom w:val="single" w:sz="4" w:space="0" w:color="auto"/>
              <w:right w:val="single" w:sz="4" w:space="0" w:color="auto"/>
            </w:tcBorders>
            <w:shd w:val="clear" w:color="auto" w:fill="auto"/>
            <w:vAlign w:val="center"/>
          </w:tcPr>
          <w:p w14:paraId="610EAADF"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£1655</w:t>
            </w:r>
          </w:p>
        </w:tc>
      </w:tr>
      <w:tr w:rsidR="00CC4CC3" w:rsidRPr="00826F90" w14:paraId="174624C5" w14:textId="77777777" w:rsidTr="00A96C9A">
        <w:trPr>
          <w:trHeight w:val="250"/>
        </w:trPr>
        <w:tc>
          <w:tcPr>
            <w:tcW w:w="3397" w:type="dxa"/>
            <w:vMerge/>
          </w:tcPr>
          <w:p w14:paraId="3758E806" w14:textId="77777777" w:rsidR="00CC4CC3" w:rsidRPr="00826F90" w:rsidRDefault="00CC4CC3" w:rsidP="00A96C9A">
            <w:pPr>
              <w:rPr>
                <w:rFonts w:ascii="Arial" w:hAnsi="Arial" w:cs="Arial"/>
              </w:rPr>
            </w:pPr>
          </w:p>
        </w:tc>
        <w:tc>
          <w:tcPr>
            <w:tcW w:w="1560" w:type="dxa"/>
          </w:tcPr>
          <w:p w14:paraId="68C9F9A1" w14:textId="77777777" w:rsidR="00CC4CC3" w:rsidRPr="00826F90" w:rsidRDefault="00CC4CC3" w:rsidP="00A96C9A">
            <w:pPr>
              <w:rPr>
                <w:rFonts w:ascii="Arial" w:hAnsi="Arial" w:cs="Arial"/>
              </w:rPr>
            </w:pPr>
            <w:r w:rsidRPr="00826F90">
              <w:rPr>
                <w:rFonts w:ascii="Arial" w:hAnsi="Arial" w:cs="Arial"/>
              </w:rPr>
              <w:t>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7A9252"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£1877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C1ECB"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£1740</w:t>
            </w:r>
          </w:p>
        </w:tc>
      </w:tr>
      <w:tr w:rsidR="00CC4CC3" w:rsidRPr="00826F90" w14:paraId="477B822B" w14:textId="77777777" w:rsidTr="00A96C9A">
        <w:trPr>
          <w:trHeight w:val="236"/>
        </w:trPr>
        <w:tc>
          <w:tcPr>
            <w:tcW w:w="3397" w:type="dxa"/>
            <w:vMerge/>
          </w:tcPr>
          <w:p w14:paraId="78FD56EE" w14:textId="77777777" w:rsidR="00CC4CC3" w:rsidRPr="00826F90" w:rsidRDefault="00CC4CC3" w:rsidP="00A96C9A">
            <w:pPr>
              <w:rPr>
                <w:rFonts w:ascii="Arial" w:hAnsi="Arial" w:cs="Arial"/>
              </w:rPr>
            </w:pPr>
          </w:p>
        </w:tc>
        <w:tc>
          <w:tcPr>
            <w:tcW w:w="1560" w:type="dxa"/>
          </w:tcPr>
          <w:p w14:paraId="29FCDF99" w14:textId="77777777" w:rsidR="00CC4CC3" w:rsidRPr="00826F90" w:rsidRDefault="00CC4CC3" w:rsidP="00A96C9A">
            <w:pPr>
              <w:rPr>
                <w:rFonts w:ascii="Arial" w:hAnsi="Arial" w:cs="Arial"/>
              </w:rPr>
            </w:pPr>
            <w:r w:rsidRPr="00826F90">
              <w:rPr>
                <w:rFonts w:ascii="Arial" w:hAnsi="Arial" w:cs="Arial"/>
              </w:rPr>
              <w:t>18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1AC33A"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£1962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C06F52"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£1826</w:t>
            </w:r>
          </w:p>
        </w:tc>
      </w:tr>
      <w:tr w:rsidR="00CC4CC3" w:rsidRPr="00826F90" w14:paraId="45B943B9" w14:textId="77777777" w:rsidTr="00A96C9A">
        <w:trPr>
          <w:trHeight w:val="250"/>
        </w:trPr>
        <w:tc>
          <w:tcPr>
            <w:tcW w:w="3397" w:type="dxa"/>
            <w:vMerge/>
          </w:tcPr>
          <w:p w14:paraId="683D7C3E" w14:textId="77777777" w:rsidR="00CC4CC3" w:rsidRPr="00826F90" w:rsidRDefault="00CC4CC3" w:rsidP="00A96C9A">
            <w:pPr>
              <w:rPr>
                <w:rFonts w:ascii="Arial" w:hAnsi="Arial" w:cs="Arial"/>
              </w:rPr>
            </w:pPr>
          </w:p>
        </w:tc>
        <w:tc>
          <w:tcPr>
            <w:tcW w:w="1560" w:type="dxa"/>
          </w:tcPr>
          <w:p w14:paraId="19D44173" w14:textId="77777777" w:rsidR="00CC4CC3" w:rsidRPr="00826F90" w:rsidRDefault="00CC4CC3" w:rsidP="00A96C9A">
            <w:pPr>
              <w:rPr>
                <w:rFonts w:ascii="Arial" w:hAnsi="Arial" w:cs="Arial"/>
              </w:rPr>
            </w:pPr>
            <w:r w:rsidRPr="00826F90">
              <w:rPr>
                <w:rFonts w:ascii="Arial" w:hAnsi="Arial" w:cs="Arial"/>
              </w:rPr>
              <w:t>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DF93F8"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£2048</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3C7DF6"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£1911</w:t>
            </w:r>
          </w:p>
        </w:tc>
      </w:tr>
      <w:tr w:rsidR="00CC4CC3" w:rsidRPr="00826F90" w14:paraId="320CDD90" w14:textId="77777777" w:rsidTr="00A96C9A">
        <w:trPr>
          <w:trHeight w:val="236"/>
        </w:trPr>
        <w:tc>
          <w:tcPr>
            <w:tcW w:w="3397" w:type="dxa"/>
            <w:vMerge/>
          </w:tcPr>
          <w:p w14:paraId="6F67E59F" w14:textId="77777777" w:rsidR="00CC4CC3" w:rsidRPr="00826F90" w:rsidRDefault="00CC4CC3" w:rsidP="00A96C9A">
            <w:pPr>
              <w:rPr>
                <w:rFonts w:ascii="Arial" w:hAnsi="Arial" w:cs="Arial"/>
              </w:rPr>
            </w:pPr>
          </w:p>
        </w:tc>
        <w:tc>
          <w:tcPr>
            <w:tcW w:w="1560" w:type="dxa"/>
          </w:tcPr>
          <w:p w14:paraId="7FE107A8" w14:textId="77777777" w:rsidR="00CC4CC3" w:rsidRPr="00826F90" w:rsidRDefault="00CC4CC3" w:rsidP="00A96C9A">
            <w:pPr>
              <w:rPr>
                <w:rFonts w:ascii="Arial" w:hAnsi="Arial" w:cs="Arial"/>
              </w:rPr>
            </w:pPr>
            <w:r w:rsidRPr="00826F90">
              <w:rPr>
                <w:rFonts w:ascii="Arial" w:hAnsi="Arial" w:cs="Arial"/>
              </w:rPr>
              <w:t>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EFC4D2"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£2133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5E91D1"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£1996</w:t>
            </w:r>
          </w:p>
        </w:tc>
      </w:tr>
      <w:tr w:rsidR="00CC4CC3" w:rsidRPr="00826F90" w14:paraId="55394C78" w14:textId="77777777" w:rsidTr="00A96C9A">
        <w:trPr>
          <w:trHeight w:val="250"/>
        </w:trPr>
        <w:tc>
          <w:tcPr>
            <w:tcW w:w="3397" w:type="dxa"/>
            <w:vMerge/>
          </w:tcPr>
          <w:p w14:paraId="329CA099" w14:textId="77777777" w:rsidR="00CC4CC3" w:rsidRPr="00826F90" w:rsidRDefault="00CC4CC3" w:rsidP="00A96C9A">
            <w:pPr>
              <w:rPr>
                <w:rFonts w:ascii="Arial" w:hAnsi="Arial" w:cs="Arial"/>
              </w:rPr>
            </w:pPr>
          </w:p>
        </w:tc>
        <w:tc>
          <w:tcPr>
            <w:tcW w:w="1560" w:type="dxa"/>
          </w:tcPr>
          <w:p w14:paraId="3DC9EBC4" w14:textId="77777777" w:rsidR="00CC4CC3" w:rsidRPr="00826F90" w:rsidRDefault="00CC4CC3" w:rsidP="00A96C9A">
            <w:pPr>
              <w:rPr>
                <w:rFonts w:ascii="Arial" w:hAnsi="Arial" w:cs="Arial"/>
              </w:rPr>
            </w:pPr>
            <w:r w:rsidRPr="00826F90">
              <w:rPr>
                <w:rFonts w:ascii="Arial" w:hAnsi="Arial" w:cs="Arial"/>
              </w:rPr>
              <w:t>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66A469"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£2133</w:t>
            </w:r>
          </w:p>
        </w:tc>
        <w:tc>
          <w:tcPr>
            <w:tcW w:w="1275" w:type="dxa"/>
            <w:tcBorders>
              <w:top w:val="nil"/>
              <w:left w:val="single" w:sz="4" w:space="0" w:color="auto"/>
              <w:bottom w:val="single" w:sz="4" w:space="0" w:color="auto"/>
              <w:right w:val="single" w:sz="4" w:space="0" w:color="auto"/>
            </w:tcBorders>
            <w:shd w:val="clear" w:color="auto" w:fill="auto"/>
            <w:vAlign w:val="center"/>
          </w:tcPr>
          <w:p w14:paraId="2ABDFA55" w14:textId="77777777" w:rsidR="00CC4CC3" w:rsidRPr="00B14183" w:rsidRDefault="00CC4CC3" w:rsidP="00A96C9A">
            <w:pPr>
              <w:rPr>
                <w:rFonts w:asciiTheme="majorHAnsi" w:hAnsiTheme="majorHAnsi" w:cstheme="majorHAnsi"/>
              </w:rPr>
            </w:pPr>
            <w:r w:rsidRPr="00B14183">
              <w:rPr>
                <w:rFonts w:asciiTheme="majorHAnsi" w:hAnsiTheme="majorHAnsi" w:cstheme="majorHAnsi"/>
              </w:rPr>
              <w:t>£1996</w:t>
            </w:r>
          </w:p>
        </w:tc>
      </w:tr>
      <w:tr w:rsidR="00CC4CC3" w:rsidRPr="00826F90" w14:paraId="32E35F91" w14:textId="77777777" w:rsidTr="00A96C9A">
        <w:trPr>
          <w:trHeight w:val="250"/>
        </w:trPr>
        <w:tc>
          <w:tcPr>
            <w:tcW w:w="3397" w:type="dxa"/>
            <w:vMerge/>
          </w:tcPr>
          <w:p w14:paraId="12377D46" w14:textId="77777777" w:rsidR="00CC4CC3" w:rsidRPr="00826F90" w:rsidRDefault="00CC4CC3" w:rsidP="00A96C9A">
            <w:pPr>
              <w:rPr>
                <w:rFonts w:ascii="Arial" w:hAnsi="Arial" w:cs="Arial"/>
              </w:rPr>
            </w:pPr>
          </w:p>
        </w:tc>
        <w:tc>
          <w:tcPr>
            <w:tcW w:w="1560" w:type="dxa"/>
          </w:tcPr>
          <w:p w14:paraId="75CDAC8F" w14:textId="77777777" w:rsidR="00CC4CC3" w:rsidRPr="00826F90" w:rsidRDefault="00CC4CC3" w:rsidP="00A96C9A">
            <w:pPr>
              <w:rPr>
                <w:rFonts w:ascii="Arial" w:hAnsi="Arial" w:cs="Arial"/>
              </w:rPr>
            </w:pPr>
            <w:r w:rsidRPr="00826F90">
              <w:rPr>
                <w:rFonts w:ascii="Arial" w:hAnsi="Arial" w:cs="Arial"/>
              </w:rPr>
              <w:t xml:space="preserve">Variation to licence </w:t>
            </w:r>
          </w:p>
        </w:tc>
        <w:tc>
          <w:tcPr>
            <w:tcW w:w="1134" w:type="dxa"/>
          </w:tcPr>
          <w:p w14:paraId="6E61EAC0" w14:textId="77777777" w:rsidR="00CC4CC3" w:rsidRPr="00B14183" w:rsidRDefault="00CC4CC3" w:rsidP="00A96C9A">
            <w:pPr>
              <w:rPr>
                <w:rFonts w:asciiTheme="majorHAnsi" w:hAnsiTheme="majorHAnsi" w:cstheme="majorHAnsi"/>
              </w:rPr>
            </w:pPr>
            <w:r w:rsidRPr="00B14183">
              <w:rPr>
                <w:rFonts w:asciiTheme="majorHAnsi" w:hAnsiTheme="majorHAnsi" w:cstheme="majorHAnsi"/>
                <w:szCs w:val="22"/>
              </w:rPr>
              <w:t>£68.25</w:t>
            </w:r>
          </w:p>
        </w:tc>
        <w:tc>
          <w:tcPr>
            <w:tcW w:w="1275" w:type="dxa"/>
          </w:tcPr>
          <w:p w14:paraId="3D77AAE1" w14:textId="77777777" w:rsidR="00CC4CC3" w:rsidRPr="00B14183" w:rsidRDefault="00CC4CC3" w:rsidP="00A96C9A">
            <w:pPr>
              <w:rPr>
                <w:rFonts w:asciiTheme="majorHAnsi" w:hAnsiTheme="majorHAnsi" w:cstheme="majorHAnsi"/>
              </w:rPr>
            </w:pPr>
            <w:r w:rsidRPr="00B14183">
              <w:rPr>
                <w:rFonts w:asciiTheme="majorHAnsi" w:hAnsiTheme="majorHAnsi" w:cstheme="majorHAnsi"/>
                <w:szCs w:val="22"/>
              </w:rPr>
              <w:t>£68.25</w:t>
            </w:r>
          </w:p>
        </w:tc>
      </w:tr>
    </w:tbl>
    <w:p w14:paraId="07EF477C" w14:textId="77777777" w:rsidR="00F4215A" w:rsidRPr="007E528C" w:rsidRDefault="00F4215A" w:rsidP="007E528C">
      <w:pPr>
        <w:jc w:val="both"/>
        <w:rPr>
          <w:rFonts w:cs="Arial"/>
          <w:szCs w:val="22"/>
        </w:rPr>
      </w:pPr>
    </w:p>
    <w:p w14:paraId="019627C2" w14:textId="77777777" w:rsidR="00740CD3" w:rsidRDefault="00740CD3">
      <w:pPr>
        <w:rPr>
          <w:rFonts w:asciiTheme="majorHAnsi" w:eastAsiaTheme="majorEastAsia" w:hAnsiTheme="majorHAnsi"/>
          <w:b/>
          <w:bCs/>
          <w:i/>
          <w:iCs/>
          <w:sz w:val="28"/>
          <w:szCs w:val="28"/>
        </w:rPr>
      </w:pPr>
      <w:r>
        <w:br w:type="page"/>
      </w:r>
    </w:p>
    <w:p w14:paraId="787FEA6E" w14:textId="77777777" w:rsidR="000E01FB" w:rsidRDefault="000B4F06" w:rsidP="009B5ECF">
      <w:pPr>
        <w:pStyle w:val="Heading2"/>
        <w:rPr>
          <w:b w:val="0"/>
        </w:rPr>
      </w:pPr>
      <w:r w:rsidRPr="000E01FB">
        <w:lastRenderedPageBreak/>
        <w:t>Who</w:t>
      </w:r>
      <w:r w:rsidR="002E30C4">
        <w:t xml:space="preserve"> and </w:t>
      </w:r>
      <w:proofErr w:type="gramStart"/>
      <w:r w:rsidR="002E30C4">
        <w:t>How</w:t>
      </w:r>
      <w:proofErr w:type="gramEnd"/>
      <w:r w:rsidR="002E30C4">
        <w:t xml:space="preserve"> </w:t>
      </w:r>
      <w:r w:rsidR="002E30C4" w:rsidRPr="000E01FB">
        <w:t>we</w:t>
      </w:r>
      <w:r w:rsidRPr="000E01FB">
        <w:t xml:space="preserve"> Consulted</w:t>
      </w:r>
      <w:r w:rsidR="000E01FB">
        <w:rPr>
          <w:b w:val="0"/>
        </w:rPr>
        <w:t xml:space="preserve"> </w:t>
      </w:r>
    </w:p>
    <w:p w14:paraId="5E517D90" w14:textId="16FC3728" w:rsidR="00D31C23" w:rsidRDefault="00D31C23" w:rsidP="007E528C">
      <w:pPr>
        <w:pStyle w:val="ListParagraph"/>
        <w:numPr>
          <w:ilvl w:val="0"/>
          <w:numId w:val="3"/>
        </w:numPr>
        <w:jc w:val="both"/>
      </w:pPr>
      <w:r>
        <w:t xml:space="preserve">The consultation ran </w:t>
      </w:r>
      <w:r w:rsidR="007E528C">
        <w:t xml:space="preserve">from </w:t>
      </w:r>
      <w:r w:rsidR="002200A0">
        <w:t>0</w:t>
      </w:r>
      <w:r w:rsidR="007262F3">
        <w:t>8</w:t>
      </w:r>
      <w:r w:rsidR="002200A0">
        <w:t xml:space="preserve"> </w:t>
      </w:r>
      <w:r w:rsidR="007E528C" w:rsidRPr="009C2CDB">
        <w:t>November 202</w:t>
      </w:r>
      <w:r w:rsidR="007262F3">
        <w:t>3</w:t>
      </w:r>
      <w:r w:rsidR="007E528C" w:rsidRPr="009C2CDB">
        <w:t xml:space="preserve"> to 0</w:t>
      </w:r>
      <w:r w:rsidR="007262F3">
        <w:t>6</w:t>
      </w:r>
      <w:r w:rsidR="007E528C" w:rsidRPr="009C2CDB">
        <w:t xml:space="preserve"> </w:t>
      </w:r>
      <w:r w:rsidR="009C2CDB" w:rsidRPr="009C2CDB">
        <w:t>Decem</w:t>
      </w:r>
      <w:r w:rsidR="007E528C" w:rsidRPr="009C2CDB">
        <w:t>ber 202</w:t>
      </w:r>
      <w:r w:rsidR="007262F3">
        <w:t>3</w:t>
      </w:r>
      <w:r w:rsidR="007E528C" w:rsidRPr="009C2CDB">
        <w:t>.</w:t>
      </w:r>
    </w:p>
    <w:p w14:paraId="774AEF93" w14:textId="10F81106" w:rsidR="002E30C4" w:rsidRDefault="002E30C4" w:rsidP="007E528C">
      <w:pPr>
        <w:pStyle w:val="ListParagraph"/>
        <w:numPr>
          <w:ilvl w:val="0"/>
          <w:numId w:val="3"/>
        </w:numPr>
        <w:jc w:val="both"/>
      </w:pPr>
      <w:r>
        <w:t xml:space="preserve">A </w:t>
      </w:r>
      <w:r w:rsidR="007E528C">
        <w:t xml:space="preserve">public </w:t>
      </w:r>
      <w:r>
        <w:t>notice was placed in the Bracknell News (Wednesday</w:t>
      </w:r>
      <w:r w:rsidR="007E528C">
        <w:t xml:space="preserve">, </w:t>
      </w:r>
      <w:r w:rsidR="002200A0">
        <w:t>0</w:t>
      </w:r>
      <w:r w:rsidR="007262F3">
        <w:t>8</w:t>
      </w:r>
      <w:r w:rsidR="007E528C">
        <w:t xml:space="preserve"> November 202</w:t>
      </w:r>
      <w:r w:rsidR="007262F3">
        <w:t>3</w:t>
      </w:r>
      <w:r>
        <w:t xml:space="preserve">) and on the Public Protection Partnership’s website </w:t>
      </w:r>
      <w:r w:rsidR="007E528C">
        <w:t>on the</w:t>
      </w:r>
      <w:r w:rsidR="002200A0">
        <w:t xml:space="preserve"> 08 November 202</w:t>
      </w:r>
      <w:r w:rsidR="007262F3">
        <w:t>3</w:t>
      </w:r>
      <w:r>
        <w:t>.</w:t>
      </w:r>
    </w:p>
    <w:p w14:paraId="10D5DAAF" w14:textId="19755456" w:rsidR="002E30C4" w:rsidRDefault="002E30C4" w:rsidP="007E528C">
      <w:pPr>
        <w:pStyle w:val="ListParagraph"/>
        <w:numPr>
          <w:ilvl w:val="0"/>
          <w:numId w:val="3"/>
        </w:numPr>
        <w:jc w:val="both"/>
      </w:pPr>
      <w:r>
        <w:t>A copy of the notice was emaile</w:t>
      </w:r>
      <w:r w:rsidR="00740CD3">
        <w:t>d individually to all licensed hackney c</w:t>
      </w:r>
      <w:r>
        <w:t>arriage</w:t>
      </w:r>
      <w:r w:rsidR="002200A0">
        <w:t xml:space="preserve"> </w:t>
      </w:r>
      <w:r w:rsidR="00740CD3">
        <w:t>p</w:t>
      </w:r>
      <w:r w:rsidR="002200A0">
        <w:t>roprietors for their comments on the 08 November 202</w:t>
      </w:r>
      <w:r w:rsidR="007262F3">
        <w:t>3</w:t>
      </w:r>
      <w:r w:rsidR="002200A0">
        <w:t>.</w:t>
      </w:r>
    </w:p>
    <w:p w14:paraId="77331DD9" w14:textId="09BAE0EC" w:rsidR="00BF2C3D" w:rsidRDefault="00BF2C3D" w:rsidP="007E528C">
      <w:pPr>
        <w:pStyle w:val="ListParagraph"/>
        <w:numPr>
          <w:ilvl w:val="0"/>
          <w:numId w:val="3"/>
        </w:numPr>
        <w:jc w:val="both"/>
      </w:pPr>
      <w:r>
        <w:t>A copy of the notice was also placed on the Time Square notice board on the 08 November 202</w:t>
      </w:r>
      <w:r w:rsidR="007262F3">
        <w:t>3</w:t>
      </w:r>
      <w:r>
        <w:t>.</w:t>
      </w:r>
    </w:p>
    <w:p w14:paraId="7F0D0976" w14:textId="77777777" w:rsidR="000B4F06" w:rsidRDefault="000B4F06" w:rsidP="00E11D2E">
      <w:pPr>
        <w:pStyle w:val="Heading2"/>
      </w:pPr>
      <w:r>
        <w:t xml:space="preserve">What you Told Us </w:t>
      </w:r>
    </w:p>
    <w:p w14:paraId="4F40431A" w14:textId="6A7033BF" w:rsidR="00CD7CEB" w:rsidRPr="00CD7CEB" w:rsidRDefault="00CD7CEB" w:rsidP="00CD7CEB">
      <w:pPr>
        <w:jc w:val="both"/>
        <w:rPr>
          <w:rFonts w:eastAsia="Times New Roman" w:cstheme="minorHAnsi"/>
        </w:rPr>
      </w:pPr>
      <w:r w:rsidRPr="00CD7CEB">
        <w:t>We received one</w:t>
      </w:r>
      <w:r w:rsidR="007262F3" w:rsidRPr="00CD7CEB">
        <w:t xml:space="preserve"> </w:t>
      </w:r>
      <w:r w:rsidR="00300E47" w:rsidRPr="00CD7CEB">
        <w:t>response</w:t>
      </w:r>
      <w:r w:rsidRPr="00CD7CEB">
        <w:t xml:space="preserve"> </w:t>
      </w:r>
      <w:r w:rsidR="00300E47" w:rsidRPr="00CD7CEB">
        <w:t xml:space="preserve">to the consultation during the consultation period. </w:t>
      </w:r>
      <w:r w:rsidRPr="00CD7CEB">
        <w:t>The response was s</w:t>
      </w:r>
      <w:r w:rsidRPr="00CD7CEB">
        <w:rPr>
          <w:rFonts w:eastAsia="Times New Roman" w:cstheme="minorHAnsi"/>
        </w:rPr>
        <w:t>ubmitted by Manoj Lacximicant on Behalf of the Bracknell Hackney Taxi Driver Association Signed by 44 Members</w:t>
      </w:r>
    </w:p>
    <w:p w14:paraId="6F5B2741" w14:textId="77777777" w:rsidR="00CD7CEB" w:rsidRDefault="00CD7CEB" w:rsidP="00CD7CEB">
      <w:pPr>
        <w:jc w:val="both"/>
        <w:rPr>
          <w:rFonts w:eastAsia="Times New Roman" w:cstheme="minorHAnsi"/>
          <w:b/>
          <w:color w:val="000000"/>
        </w:rPr>
      </w:pPr>
    </w:p>
    <w:p w14:paraId="1EAAAA0D" w14:textId="3D85F257" w:rsidR="00FC5D43" w:rsidRDefault="00CD7CEB" w:rsidP="006D7600">
      <w:pPr>
        <w:jc w:val="both"/>
      </w:pPr>
      <w:r>
        <w:t xml:space="preserve">The response is </w:t>
      </w:r>
      <w:r w:rsidR="007E528C">
        <w:t>set out below.</w:t>
      </w:r>
    </w:p>
    <w:p w14:paraId="144A886C" w14:textId="77777777" w:rsidR="00FC5D43" w:rsidRDefault="00FC5D43" w:rsidP="006D7600">
      <w:pPr>
        <w:jc w:val="both"/>
      </w:pPr>
    </w:p>
    <w:tbl>
      <w:tblPr>
        <w:tblStyle w:val="TableGrid"/>
        <w:tblW w:w="0" w:type="auto"/>
        <w:tblLook w:val="04A0" w:firstRow="1" w:lastRow="0" w:firstColumn="1" w:lastColumn="0" w:noHBand="0" w:noVBand="1"/>
      </w:tblPr>
      <w:tblGrid>
        <w:gridCol w:w="14737"/>
      </w:tblGrid>
      <w:tr w:rsidR="00CD7CEB" w14:paraId="662186ED" w14:textId="77777777" w:rsidTr="00CD7CEB">
        <w:tc>
          <w:tcPr>
            <w:tcW w:w="14737" w:type="dxa"/>
          </w:tcPr>
          <w:p w14:paraId="08E20064" w14:textId="77ADC272" w:rsidR="00CD7CEB" w:rsidRPr="004320F0" w:rsidRDefault="00CD7CEB" w:rsidP="004320F0">
            <w:pPr>
              <w:jc w:val="both"/>
              <w:rPr>
                <w:rFonts w:eastAsia="Times New Roman" w:cstheme="minorHAnsi"/>
                <w:b/>
              </w:rPr>
            </w:pPr>
            <w:r>
              <w:rPr>
                <w:rFonts w:eastAsia="Times New Roman" w:cstheme="minorHAnsi"/>
                <w:b/>
              </w:rPr>
              <w:t>Comment</w:t>
            </w:r>
          </w:p>
        </w:tc>
      </w:tr>
      <w:tr w:rsidR="00CD7CEB" w14:paraId="0F14923A" w14:textId="467B3794" w:rsidTr="00CD7CEB">
        <w:tc>
          <w:tcPr>
            <w:tcW w:w="14737" w:type="dxa"/>
          </w:tcPr>
          <w:p w14:paraId="4FB64103" w14:textId="56AECAE5" w:rsidR="00CD7CEB" w:rsidRDefault="00CD7CEB" w:rsidP="004320F0">
            <w:pPr>
              <w:jc w:val="both"/>
              <w:rPr>
                <w:rFonts w:eastAsia="Times New Roman" w:cstheme="minorHAnsi"/>
                <w:b/>
              </w:rPr>
            </w:pPr>
            <w:r w:rsidRPr="004320F0">
              <w:rPr>
                <w:rFonts w:eastAsia="Times New Roman" w:cstheme="minorHAnsi"/>
                <w:b/>
              </w:rPr>
              <w:t xml:space="preserve">Response 1: </w:t>
            </w:r>
          </w:p>
          <w:p w14:paraId="0C7CD476" w14:textId="77777777" w:rsidR="00CD7CEB" w:rsidRDefault="00CD7CEB" w:rsidP="004320F0">
            <w:pPr>
              <w:jc w:val="both"/>
              <w:rPr>
                <w:rFonts w:eastAsia="Times New Roman" w:cstheme="minorHAnsi"/>
                <w:b/>
                <w:color w:val="000000"/>
              </w:rPr>
            </w:pPr>
          </w:p>
          <w:p w14:paraId="6A32C917" w14:textId="2B9906C3" w:rsidR="00CD7CEB" w:rsidRPr="004320F0" w:rsidRDefault="00CD7CEB" w:rsidP="004320F0">
            <w:pPr>
              <w:jc w:val="both"/>
              <w:rPr>
                <w:rFonts w:cstheme="minorHAnsi"/>
                <w:color w:val="000000"/>
              </w:rPr>
            </w:pPr>
            <w:r w:rsidRPr="004320F0">
              <w:rPr>
                <w:rFonts w:cstheme="minorHAnsi"/>
                <w:color w:val="000000"/>
              </w:rPr>
              <w:t xml:space="preserve">It is important to understand the concerns of Hackney drivers regarding to freeze on vehicle licence fees new/renewal and hourly rate for a further year due to the ongoing challenges posed by the lack of trading, lots of strikes by RMT this year, the rising cost-of-living, bills are going up for foods, the cost of maintenance the vehicles, taxi insurance, mortgage all are piling the pressure for some and still not yet recovered from pandemic. We all are feeling the </w:t>
            </w:r>
            <w:proofErr w:type="gramStart"/>
            <w:r w:rsidRPr="004320F0">
              <w:rPr>
                <w:rFonts w:cstheme="minorHAnsi"/>
                <w:color w:val="000000"/>
              </w:rPr>
              <w:t>pinch</w:t>
            </w:r>
            <w:proofErr w:type="gramEnd"/>
            <w:r w:rsidRPr="004320F0">
              <w:rPr>
                <w:rFonts w:cstheme="minorHAnsi"/>
                <w:color w:val="000000"/>
              </w:rPr>
              <w:t xml:space="preserve"> and it could be a crucial issue for the taxi trade and drivers' livelihoods. Advocating for stability in fees and charges is a valid way to support the industry during challenging times</w:t>
            </w:r>
            <w:r>
              <w:rPr>
                <w:rFonts w:cstheme="minorHAnsi"/>
                <w:color w:val="000000"/>
              </w:rPr>
              <w:t>.</w:t>
            </w:r>
          </w:p>
          <w:p w14:paraId="39596114" w14:textId="669B05C9" w:rsidR="00CD7CEB" w:rsidRPr="004320F0" w:rsidRDefault="00CD7CEB" w:rsidP="004320F0">
            <w:pPr>
              <w:pStyle w:val="NormalWeb"/>
              <w:jc w:val="both"/>
              <w:rPr>
                <w:rFonts w:asciiTheme="minorHAnsi" w:hAnsiTheme="minorHAnsi" w:cstheme="minorHAnsi"/>
                <w:color w:val="000000"/>
                <w:sz w:val="24"/>
                <w:szCs w:val="24"/>
              </w:rPr>
            </w:pPr>
            <w:r w:rsidRPr="004320F0">
              <w:rPr>
                <w:rFonts w:asciiTheme="minorHAnsi" w:hAnsiTheme="minorHAnsi" w:cstheme="minorHAnsi"/>
                <w:color w:val="000000"/>
                <w:sz w:val="24"/>
                <w:szCs w:val="24"/>
              </w:rPr>
              <w:t>This is why the reason our Bracknell Hackney Taxi Driver association is opposing the increase in proposed consultation statutory on Fees and charges-2024/</w:t>
            </w:r>
            <w:proofErr w:type="gramStart"/>
            <w:r w:rsidRPr="004320F0">
              <w:rPr>
                <w:rFonts w:asciiTheme="minorHAnsi" w:hAnsiTheme="minorHAnsi" w:cstheme="minorHAnsi"/>
                <w:color w:val="000000"/>
                <w:sz w:val="24"/>
                <w:szCs w:val="24"/>
              </w:rPr>
              <w:t>2025 ,</w:t>
            </w:r>
            <w:proofErr w:type="gramEnd"/>
            <w:r w:rsidRPr="004320F0">
              <w:rPr>
                <w:rFonts w:asciiTheme="minorHAnsi" w:hAnsiTheme="minorHAnsi" w:cstheme="minorHAnsi"/>
                <w:color w:val="000000"/>
                <w:sz w:val="24"/>
                <w:szCs w:val="24"/>
              </w:rPr>
              <w:t xml:space="preserve"> hourly rate of £68.25-Initial/inspection/renewal of Vehicle Age and fees increase for New - £307 /renewals - £273 of vehicle licenses , contesting and maintaining at least the same old fees as 2023/2024 - New - £288/Renewed -£256 Licensed Vehicle.  -Vehicle Age Inspection at an hourly rate of £64. (2023/2024) </w:t>
            </w:r>
          </w:p>
          <w:p w14:paraId="34EE216B" w14:textId="6439E641" w:rsidR="00CD7CEB" w:rsidRPr="004320F0" w:rsidRDefault="00CD7CEB" w:rsidP="004320F0">
            <w:pPr>
              <w:jc w:val="both"/>
              <w:rPr>
                <w:rFonts w:eastAsia="Times New Roman" w:cstheme="minorHAnsi"/>
                <w:color w:val="000000"/>
              </w:rPr>
            </w:pPr>
            <w:proofErr w:type="gramStart"/>
            <w:r w:rsidRPr="004320F0">
              <w:rPr>
                <w:rFonts w:eastAsia="Times New Roman" w:cstheme="minorHAnsi"/>
                <w:color w:val="000000"/>
                <w:shd w:val="clear" w:color="auto" w:fill="FFFFFF"/>
              </w:rPr>
              <w:lastRenderedPageBreak/>
              <w:t>In order for</w:t>
            </w:r>
            <w:proofErr w:type="gramEnd"/>
            <w:r w:rsidRPr="004320F0">
              <w:rPr>
                <w:rFonts w:eastAsia="Times New Roman" w:cstheme="minorHAnsi"/>
                <w:color w:val="000000"/>
                <w:shd w:val="clear" w:color="auto" w:fill="FFFFFF"/>
              </w:rPr>
              <w:t xml:space="preserve"> our concerns to be considered in the consultation, I am emailing a scanned letter attached in pdf file with 44 signatures from the Hackney driver to the appropriate committee conducting the consultation for review on Fees and Charges for 2024-2025.</w:t>
            </w:r>
          </w:p>
          <w:p w14:paraId="3BC34C90" w14:textId="77777777" w:rsidR="00CD7CEB" w:rsidRPr="004320F0" w:rsidRDefault="00CD7CEB" w:rsidP="004320F0">
            <w:pPr>
              <w:pStyle w:val="NormalWeb"/>
              <w:jc w:val="both"/>
              <w:rPr>
                <w:rFonts w:asciiTheme="minorHAnsi" w:hAnsiTheme="minorHAnsi" w:cstheme="minorHAnsi"/>
                <w:color w:val="000000"/>
                <w:sz w:val="24"/>
                <w:szCs w:val="24"/>
                <w:shd w:val="clear" w:color="auto" w:fill="FFFFFF"/>
              </w:rPr>
            </w:pPr>
            <w:r w:rsidRPr="004320F0">
              <w:rPr>
                <w:rFonts w:asciiTheme="minorHAnsi" w:hAnsiTheme="minorHAnsi" w:cstheme="minorHAnsi"/>
                <w:color w:val="000000"/>
                <w:sz w:val="24"/>
                <w:szCs w:val="24"/>
                <w:shd w:val="clear" w:color="auto" w:fill="FFFFFF"/>
              </w:rPr>
              <w:t>It should be noted that with regards to hackney drivers concerns, we understand the list below does not apply in Statutory consultation fees on the Age of Vehicle inspection of £68.25, proposed increase New-£350/ renewal-£316 driving license (badge) increase also fees need to be capped for 1 year equal to 2023/2024 fees £328/£296 and also £70 fee on DBS enhanced new application needs to be reviewed, reason is still high. </w:t>
            </w:r>
          </w:p>
          <w:p w14:paraId="7B97F164" w14:textId="5F61100E" w:rsidR="00CD7CEB" w:rsidRPr="004320F0" w:rsidRDefault="00CD7CEB" w:rsidP="00CD7CEB">
            <w:pPr>
              <w:pStyle w:val="NormalWeb"/>
              <w:jc w:val="both"/>
              <w:rPr>
                <w:rFonts w:cstheme="minorHAnsi"/>
              </w:rPr>
            </w:pPr>
            <w:r w:rsidRPr="004320F0">
              <w:rPr>
                <w:rFonts w:asciiTheme="minorHAnsi" w:hAnsiTheme="minorHAnsi" w:cstheme="minorHAnsi"/>
                <w:color w:val="000000"/>
                <w:sz w:val="24"/>
                <w:szCs w:val="24"/>
                <w:shd w:val="clear" w:color="auto" w:fill="FFFFFF"/>
              </w:rPr>
              <w:t>We hope you understand the current situation in the taxi trade. We would like you to give us a fair decision and continue to support the taxi trade.</w:t>
            </w:r>
          </w:p>
        </w:tc>
      </w:tr>
    </w:tbl>
    <w:p w14:paraId="6C9DDCA8" w14:textId="77777777" w:rsidR="000B4F06" w:rsidRDefault="00920E07" w:rsidP="000E01FB">
      <w:pPr>
        <w:pStyle w:val="Heading2"/>
      </w:pPr>
      <w:r>
        <w:lastRenderedPageBreak/>
        <w:t>What Happens Next?</w:t>
      </w:r>
    </w:p>
    <w:p w14:paraId="7F270C6B" w14:textId="77777777" w:rsidR="0033468C" w:rsidRPr="00513E0C" w:rsidRDefault="00BF6F1D" w:rsidP="00D34BE6">
      <w:pPr>
        <w:jc w:val="both"/>
        <w:rPr>
          <w:rStyle w:val="fontstyle01"/>
          <w:rFonts w:ascii="Arial" w:hAnsi="Arial" w:cs="Arial"/>
        </w:rPr>
      </w:pPr>
      <w:r w:rsidRPr="00513E0C">
        <w:rPr>
          <w:rFonts w:ascii="Arial" w:hAnsi="Arial" w:cs="Arial"/>
        </w:rPr>
        <w:t xml:space="preserve">Section 70 (1) of the Local Government (Miscellaneous Provisions) Act 1976 sets out the requirements when variations to </w:t>
      </w:r>
      <w:r w:rsidR="00BF2C3D" w:rsidRPr="00A55850">
        <w:rPr>
          <w:rFonts w:eastAsia="Times New Roman"/>
        </w:rPr>
        <w:t>hackney</w:t>
      </w:r>
      <w:r w:rsidR="00BF2C3D" w:rsidRPr="00415789">
        <w:rPr>
          <w:rFonts w:eastAsia="Times New Roman"/>
        </w:rPr>
        <w:t xml:space="preserve"> carriage and private hire vehicles a</w:t>
      </w:r>
      <w:r w:rsidR="00BF2C3D">
        <w:rPr>
          <w:rFonts w:eastAsia="Times New Roman"/>
        </w:rPr>
        <w:t>nd private hire operator’s fees</w:t>
      </w:r>
      <w:r w:rsidR="00BF2C3D" w:rsidRPr="00513E0C">
        <w:rPr>
          <w:rFonts w:ascii="Arial" w:hAnsi="Arial" w:cs="Arial"/>
        </w:rPr>
        <w:t xml:space="preserve"> </w:t>
      </w:r>
      <w:r w:rsidRPr="00513E0C">
        <w:rPr>
          <w:rFonts w:ascii="Arial" w:hAnsi="Arial" w:cs="Arial"/>
        </w:rPr>
        <w:t>are proposed.</w:t>
      </w:r>
      <w:r w:rsidR="00513E0C" w:rsidRPr="00513E0C">
        <w:rPr>
          <w:rFonts w:ascii="Arial" w:hAnsi="Arial" w:cs="Arial"/>
        </w:rPr>
        <w:t xml:space="preserve"> </w:t>
      </w:r>
      <w:r w:rsidR="00BF2C3D">
        <w:rPr>
          <w:rFonts w:ascii="Arial" w:hAnsi="Arial" w:cs="Arial"/>
        </w:rPr>
        <w:t xml:space="preserve"> </w:t>
      </w:r>
      <w:r w:rsidR="00513E0C" w:rsidRPr="00513E0C">
        <w:rPr>
          <w:rFonts w:ascii="Arial" w:hAnsi="Arial" w:cs="Arial"/>
        </w:rPr>
        <w:t>T</w:t>
      </w:r>
      <w:r w:rsidR="00513E0C" w:rsidRPr="00513E0C">
        <w:rPr>
          <w:rStyle w:val="fontstyle01"/>
          <w:rFonts w:ascii="Arial" w:hAnsi="Arial" w:cs="Arial"/>
        </w:rPr>
        <w:t>his legislation also prescribes the statutory consultation process that must be</w:t>
      </w:r>
      <w:r w:rsidR="00BF2C3D">
        <w:rPr>
          <w:rStyle w:val="fontstyle01"/>
          <w:rFonts w:ascii="Arial" w:hAnsi="Arial" w:cs="Arial"/>
        </w:rPr>
        <w:t xml:space="preserve"> </w:t>
      </w:r>
      <w:r w:rsidR="00513E0C" w:rsidRPr="00513E0C">
        <w:rPr>
          <w:rStyle w:val="fontstyle01"/>
          <w:rFonts w:ascii="Arial" w:hAnsi="Arial" w:cs="Arial"/>
        </w:rPr>
        <w:t>followed and the procedures for ensuring that objections are properly considered.</w:t>
      </w:r>
    </w:p>
    <w:p w14:paraId="18145A96" w14:textId="77777777" w:rsidR="00513E0C" w:rsidRPr="00513E0C" w:rsidRDefault="00513E0C" w:rsidP="00D34BE6">
      <w:pPr>
        <w:jc w:val="both"/>
        <w:rPr>
          <w:rStyle w:val="fontstyle01"/>
          <w:rFonts w:ascii="Arial" w:hAnsi="Arial" w:cs="Arial"/>
        </w:rPr>
      </w:pPr>
    </w:p>
    <w:p w14:paraId="5FE3EDC1" w14:textId="34873304" w:rsidR="00513E0C" w:rsidRPr="005F3ADF" w:rsidRDefault="00513E0C" w:rsidP="00D34BE6">
      <w:pPr>
        <w:jc w:val="both"/>
        <w:rPr>
          <w:rStyle w:val="Hyperlink"/>
          <w:rFonts w:ascii="Arial" w:hAnsi="Arial" w:cs="Arial"/>
          <w:b/>
          <w:color w:val="00B050"/>
          <w:lang w:val="en"/>
        </w:rPr>
      </w:pPr>
      <w:r w:rsidRPr="00513E0C">
        <w:rPr>
          <w:rStyle w:val="fontstyle01"/>
          <w:rFonts w:ascii="Arial" w:hAnsi="Arial" w:cs="Arial"/>
        </w:rPr>
        <w:t xml:space="preserve">Members agreed at the </w:t>
      </w:r>
      <w:r w:rsidR="007262F3">
        <w:rPr>
          <w:rStyle w:val="fontstyle01"/>
          <w:rFonts w:ascii="Arial" w:hAnsi="Arial" w:cs="Arial"/>
        </w:rPr>
        <w:t>19</w:t>
      </w:r>
      <w:r w:rsidRPr="00513E0C">
        <w:rPr>
          <w:rStyle w:val="fontstyle01"/>
          <w:rFonts w:ascii="Arial" w:hAnsi="Arial" w:cs="Arial"/>
        </w:rPr>
        <w:t xml:space="preserve"> October 202</w:t>
      </w:r>
      <w:r w:rsidR="007262F3">
        <w:rPr>
          <w:rStyle w:val="fontstyle01"/>
          <w:rFonts w:ascii="Arial" w:hAnsi="Arial" w:cs="Arial"/>
        </w:rPr>
        <w:t>3</w:t>
      </w:r>
      <w:r w:rsidRPr="00513E0C">
        <w:rPr>
          <w:rStyle w:val="fontstyle01"/>
          <w:rFonts w:ascii="Arial" w:hAnsi="Arial" w:cs="Arial"/>
        </w:rPr>
        <w:t xml:space="preserve"> Licensing and Safety Committee that if any </w:t>
      </w:r>
      <w:r w:rsidRPr="00513E0C">
        <w:rPr>
          <w:rFonts w:ascii="Arial" w:hAnsi="Arial" w:cs="Arial"/>
          <w:color w:val="333333"/>
          <w:lang w:val="en"/>
        </w:rPr>
        <w:t xml:space="preserve">objections </w:t>
      </w:r>
      <w:r>
        <w:rPr>
          <w:rFonts w:ascii="Arial" w:hAnsi="Arial" w:cs="Arial"/>
          <w:color w:val="333333"/>
          <w:lang w:val="en"/>
        </w:rPr>
        <w:t xml:space="preserve">to the </w:t>
      </w:r>
      <w:r w:rsidR="00BF2C3D" w:rsidRPr="00A55850">
        <w:rPr>
          <w:rFonts w:eastAsia="Times New Roman"/>
        </w:rPr>
        <w:t>hackney</w:t>
      </w:r>
      <w:r w:rsidR="00BF2C3D" w:rsidRPr="00415789">
        <w:rPr>
          <w:rFonts w:eastAsia="Times New Roman"/>
        </w:rPr>
        <w:t xml:space="preserve"> carriage and private hire vehicles a</w:t>
      </w:r>
      <w:r w:rsidR="00BF2C3D">
        <w:rPr>
          <w:rFonts w:eastAsia="Times New Roman"/>
        </w:rPr>
        <w:t xml:space="preserve">nd private hire operator’s fees were received, </w:t>
      </w:r>
      <w:r w:rsidRPr="00513E0C">
        <w:rPr>
          <w:rFonts w:ascii="Arial" w:hAnsi="Arial" w:cs="Arial"/>
          <w:color w:val="333333"/>
          <w:lang w:val="en"/>
        </w:rPr>
        <w:t xml:space="preserve">they be considered by the Committee at the meeting on </w:t>
      </w:r>
      <w:hyperlink r:id="rId12" w:history="1">
        <w:r w:rsidR="00BF2C3D" w:rsidRPr="005F3ADF">
          <w:rPr>
            <w:rStyle w:val="Hyperlink"/>
            <w:rFonts w:ascii="Arial" w:hAnsi="Arial" w:cs="Arial"/>
            <w:b/>
            <w:color w:val="00B050"/>
            <w:lang w:val="en"/>
          </w:rPr>
          <w:t>0</w:t>
        </w:r>
        <w:r w:rsidR="007262F3" w:rsidRPr="005F3ADF">
          <w:rPr>
            <w:rStyle w:val="Hyperlink"/>
            <w:rFonts w:ascii="Arial" w:hAnsi="Arial" w:cs="Arial"/>
            <w:b/>
            <w:color w:val="00B050"/>
            <w:lang w:val="en"/>
          </w:rPr>
          <w:t>1</w:t>
        </w:r>
        <w:r w:rsidR="00BF2C3D" w:rsidRPr="005F3ADF">
          <w:rPr>
            <w:rStyle w:val="Hyperlink"/>
            <w:rFonts w:ascii="Arial" w:hAnsi="Arial" w:cs="Arial"/>
            <w:b/>
            <w:color w:val="00B050"/>
            <w:lang w:val="en"/>
          </w:rPr>
          <w:t xml:space="preserve"> February 202</w:t>
        </w:r>
        <w:r w:rsidR="007262F3" w:rsidRPr="005F3ADF">
          <w:rPr>
            <w:rStyle w:val="Hyperlink"/>
            <w:rFonts w:ascii="Arial" w:hAnsi="Arial" w:cs="Arial"/>
            <w:b/>
            <w:color w:val="00B050"/>
            <w:lang w:val="en"/>
          </w:rPr>
          <w:t>4</w:t>
        </w:r>
      </w:hyperlink>
      <w:r w:rsidRPr="00BF2C3D">
        <w:rPr>
          <w:rFonts w:ascii="Arial" w:hAnsi="Arial" w:cs="Arial"/>
          <w:b/>
          <w:color w:val="00B050"/>
          <w:lang w:val="en"/>
        </w:rPr>
        <w:t xml:space="preserve"> </w:t>
      </w:r>
      <w:r w:rsidRPr="00513E0C">
        <w:rPr>
          <w:rFonts w:ascii="Arial" w:hAnsi="Arial" w:cs="Arial"/>
          <w:color w:val="333333"/>
          <w:lang w:val="en"/>
        </w:rPr>
        <w:t xml:space="preserve">and </w:t>
      </w:r>
      <w:r>
        <w:rPr>
          <w:rFonts w:ascii="Arial" w:hAnsi="Arial" w:cs="Arial"/>
          <w:color w:val="333333"/>
          <w:lang w:val="en"/>
        </w:rPr>
        <w:t>that any ensuing c</w:t>
      </w:r>
      <w:r w:rsidRPr="00513E0C">
        <w:rPr>
          <w:rFonts w:ascii="Arial" w:hAnsi="Arial" w:cs="Arial"/>
          <w:color w:val="333333"/>
          <w:lang w:val="en"/>
        </w:rPr>
        <w:t>hanges</w:t>
      </w:r>
      <w:r>
        <w:rPr>
          <w:rFonts w:ascii="Arial" w:hAnsi="Arial" w:cs="Arial"/>
          <w:color w:val="333333"/>
          <w:lang w:val="en"/>
        </w:rPr>
        <w:t xml:space="preserve"> would then</w:t>
      </w:r>
      <w:r w:rsidRPr="00513E0C">
        <w:rPr>
          <w:rFonts w:ascii="Arial" w:hAnsi="Arial" w:cs="Arial"/>
          <w:color w:val="333333"/>
          <w:lang w:val="en"/>
        </w:rPr>
        <w:t xml:space="preserve"> be recommended to full Council for approval</w:t>
      </w:r>
      <w:r>
        <w:rPr>
          <w:rFonts w:ascii="Arial" w:hAnsi="Arial" w:cs="Arial"/>
          <w:color w:val="333333"/>
          <w:lang w:val="en"/>
        </w:rPr>
        <w:t xml:space="preserve">. Council will agree the fees and charges at the </w:t>
      </w:r>
      <w:r w:rsidR="00BF2C3D">
        <w:rPr>
          <w:rFonts w:ascii="Arial" w:hAnsi="Arial" w:cs="Arial"/>
          <w:color w:val="333333"/>
          <w:lang w:val="en"/>
        </w:rPr>
        <w:t xml:space="preserve">meeting </w:t>
      </w:r>
      <w:r>
        <w:rPr>
          <w:rFonts w:ascii="Arial" w:hAnsi="Arial" w:cs="Arial"/>
          <w:color w:val="333333"/>
          <w:lang w:val="en"/>
        </w:rPr>
        <w:t xml:space="preserve">on </w:t>
      </w:r>
      <w:r w:rsidR="005F3ADF" w:rsidRPr="005F3ADF">
        <w:rPr>
          <w:rFonts w:ascii="Arial" w:hAnsi="Arial" w:cs="Arial"/>
          <w:color w:val="00B050"/>
          <w:lang w:val="en"/>
        </w:rPr>
        <w:fldChar w:fldCharType="begin"/>
      </w:r>
      <w:r w:rsidR="005F3ADF" w:rsidRPr="005F3ADF">
        <w:rPr>
          <w:rFonts w:ascii="Arial" w:hAnsi="Arial" w:cs="Arial"/>
          <w:color w:val="00B050"/>
          <w:lang w:val="en"/>
        </w:rPr>
        <w:instrText>HYPERLINK "https://democratic.bracknell-forest.gov.uk/ieListDocuments.aspx?CId=141&amp;MId=12086&amp;Ver=4"</w:instrText>
      </w:r>
      <w:r w:rsidR="005F3ADF" w:rsidRPr="005F3ADF">
        <w:rPr>
          <w:rFonts w:ascii="Arial" w:hAnsi="Arial" w:cs="Arial"/>
          <w:color w:val="00B050"/>
          <w:lang w:val="en"/>
        </w:rPr>
      </w:r>
      <w:r w:rsidR="005F3ADF" w:rsidRPr="005F3ADF">
        <w:rPr>
          <w:rFonts w:ascii="Arial" w:hAnsi="Arial" w:cs="Arial"/>
          <w:color w:val="00B050"/>
          <w:lang w:val="en"/>
        </w:rPr>
        <w:fldChar w:fldCharType="separate"/>
      </w:r>
      <w:r w:rsidRPr="005F3ADF">
        <w:rPr>
          <w:rStyle w:val="Hyperlink"/>
          <w:rFonts w:ascii="Arial" w:hAnsi="Arial" w:cs="Arial"/>
          <w:color w:val="00B050"/>
          <w:lang w:val="en"/>
        </w:rPr>
        <w:t xml:space="preserve">the </w:t>
      </w:r>
      <w:r w:rsidR="00BF2C3D" w:rsidRPr="005F3ADF">
        <w:rPr>
          <w:rStyle w:val="Hyperlink"/>
          <w:rFonts w:ascii="Arial" w:hAnsi="Arial" w:cs="Arial"/>
          <w:b/>
          <w:color w:val="00B050"/>
          <w:lang w:val="en"/>
        </w:rPr>
        <w:t>2</w:t>
      </w:r>
      <w:r w:rsidR="005F3ADF" w:rsidRPr="005F3ADF">
        <w:rPr>
          <w:rStyle w:val="Hyperlink"/>
          <w:rFonts w:ascii="Arial" w:hAnsi="Arial" w:cs="Arial"/>
          <w:b/>
          <w:color w:val="00B050"/>
          <w:lang w:val="en"/>
        </w:rPr>
        <w:t>1</w:t>
      </w:r>
      <w:r w:rsidR="00BF2C3D" w:rsidRPr="005F3ADF">
        <w:rPr>
          <w:rStyle w:val="Hyperlink"/>
          <w:rFonts w:ascii="Arial" w:hAnsi="Arial" w:cs="Arial"/>
          <w:b/>
          <w:color w:val="00B050"/>
          <w:lang w:val="en"/>
        </w:rPr>
        <w:t xml:space="preserve"> February 202</w:t>
      </w:r>
      <w:r w:rsidR="005F3ADF" w:rsidRPr="005F3ADF">
        <w:rPr>
          <w:rStyle w:val="Hyperlink"/>
          <w:rFonts w:ascii="Arial" w:hAnsi="Arial" w:cs="Arial"/>
          <w:b/>
          <w:color w:val="00B050"/>
          <w:lang w:val="en"/>
        </w:rPr>
        <w:t>4</w:t>
      </w:r>
      <w:r w:rsidR="00BF2C3D" w:rsidRPr="005F3ADF">
        <w:rPr>
          <w:rStyle w:val="Hyperlink"/>
          <w:rFonts w:ascii="Arial" w:hAnsi="Arial" w:cs="Arial"/>
          <w:b/>
          <w:color w:val="00B050"/>
          <w:lang w:val="en"/>
        </w:rPr>
        <w:t>.</w:t>
      </w:r>
    </w:p>
    <w:p w14:paraId="4624E6F8" w14:textId="2AC357BB" w:rsidR="00570DF5" w:rsidRDefault="005F3ADF" w:rsidP="00D34BE6">
      <w:pPr>
        <w:jc w:val="both"/>
        <w:rPr>
          <w:rFonts w:ascii="Arial" w:hAnsi="Arial" w:cs="Arial"/>
          <w:color w:val="333333"/>
          <w:lang w:val="en"/>
        </w:rPr>
      </w:pPr>
      <w:r w:rsidRPr="005F3ADF">
        <w:rPr>
          <w:rFonts w:ascii="Arial" w:hAnsi="Arial" w:cs="Arial"/>
          <w:color w:val="00B050"/>
          <w:lang w:val="en"/>
        </w:rPr>
        <w:fldChar w:fldCharType="end"/>
      </w:r>
    </w:p>
    <w:p w14:paraId="10BD9A7A" w14:textId="66E5E425" w:rsidR="00340E82" w:rsidRDefault="00340E82" w:rsidP="00D34BE6">
      <w:pPr>
        <w:jc w:val="both"/>
        <w:rPr>
          <w:rFonts w:ascii="Arial" w:hAnsi="Arial" w:cs="Arial"/>
          <w:color w:val="333333"/>
          <w:lang w:val="en"/>
        </w:rPr>
      </w:pPr>
      <w:r>
        <w:rPr>
          <w:rFonts w:ascii="Arial" w:hAnsi="Arial" w:cs="Arial"/>
          <w:color w:val="333333"/>
          <w:lang w:val="en"/>
        </w:rPr>
        <w:t>As objections have been received a discussion will take place at the 0</w:t>
      </w:r>
      <w:r w:rsidR="005F3ADF">
        <w:rPr>
          <w:rFonts w:ascii="Arial" w:hAnsi="Arial" w:cs="Arial"/>
          <w:color w:val="333333"/>
          <w:lang w:val="en"/>
        </w:rPr>
        <w:t>1</w:t>
      </w:r>
      <w:r>
        <w:rPr>
          <w:rFonts w:ascii="Arial" w:hAnsi="Arial" w:cs="Arial"/>
          <w:color w:val="333333"/>
          <w:lang w:val="en"/>
        </w:rPr>
        <w:t xml:space="preserve"> February 202</w:t>
      </w:r>
      <w:r w:rsidR="005F3ADF">
        <w:rPr>
          <w:rFonts w:ascii="Arial" w:hAnsi="Arial" w:cs="Arial"/>
          <w:color w:val="333333"/>
          <w:lang w:val="en"/>
        </w:rPr>
        <w:t>3</w:t>
      </w:r>
      <w:r>
        <w:rPr>
          <w:rFonts w:ascii="Arial" w:hAnsi="Arial" w:cs="Arial"/>
          <w:color w:val="333333"/>
          <w:lang w:val="en"/>
        </w:rPr>
        <w:t xml:space="preserve"> Licensing and Safety Committee meeting. The Committee will be asked to recommend </w:t>
      </w:r>
      <w:r w:rsidRPr="00340E82">
        <w:rPr>
          <w:rFonts w:ascii="Arial" w:hAnsi="Arial" w:cs="Arial"/>
          <w:color w:val="333333"/>
          <w:lang w:val="en"/>
        </w:rPr>
        <w:t xml:space="preserve">that </w:t>
      </w:r>
      <w:proofErr w:type="gramStart"/>
      <w:r w:rsidRPr="00340E82">
        <w:rPr>
          <w:rFonts w:ascii="Arial" w:hAnsi="Arial" w:cs="Arial"/>
          <w:color w:val="333333"/>
          <w:lang w:val="en"/>
        </w:rPr>
        <w:t>Full</w:t>
      </w:r>
      <w:proofErr w:type="gramEnd"/>
      <w:r w:rsidRPr="00340E82">
        <w:rPr>
          <w:rFonts w:ascii="Arial" w:hAnsi="Arial" w:cs="Arial"/>
          <w:color w:val="333333"/>
          <w:lang w:val="en"/>
        </w:rPr>
        <w:t xml:space="preserve"> Council adopt the fees, with or without modification, as part of the annual fee setting process and that these fees come into effect as of the 01 April 202</w:t>
      </w:r>
      <w:r w:rsidR="005F3ADF">
        <w:rPr>
          <w:rFonts w:ascii="Arial" w:hAnsi="Arial" w:cs="Arial"/>
          <w:color w:val="333333"/>
          <w:lang w:val="en"/>
        </w:rPr>
        <w:t>4</w:t>
      </w:r>
      <w:r w:rsidRPr="00340E82">
        <w:rPr>
          <w:rFonts w:ascii="Arial" w:hAnsi="Arial" w:cs="Arial"/>
          <w:color w:val="333333"/>
          <w:lang w:val="en"/>
        </w:rPr>
        <w:t>.</w:t>
      </w:r>
    </w:p>
    <w:p w14:paraId="54DC00C1" w14:textId="77777777" w:rsidR="00340E82" w:rsidRDefault="00340E82" w:rsidP="00D34BE6">
      <w:pPr>
        <w:jc w:val="both"/>
        <w:rPr>
          <w:rFonts w:ascii="Arial" w:hAnsi="Arial" w:cs="Arial"/>
          <w:color w:val="333333"/>
          <w:lang w:val="en"/>
        </w:rPr>
      </w:pPr>
    </w:p>
    <w:p w14:paraId="1715BC11" w14:textId="77777777" w:rsidR="00340E82" w:rsidRDefault="00340E82" w:rsidP="00D34BE6">
      <w:pPr>
        <w:jc w:val="both"/>
        <w:rPr>
          <w:rFonts w:ascii="Arial" w:hAnsi="Arial" w:cs="Arial"/>
          <w:color w:val="333333"/>
          <w:lang w:val="en"/>
        </w:rPr>
      </w:pPr>
      <w:r>
        <w:rPr>
          <w:rFonts w:ascii="Arial" w:hAnsi="Arial" w:cs="Arial"/>
          <w:color w:val="333333"/>
          <w:lang w:val="en"/>
        </w:rPr>
        <w:t>The trade will be kept informed throughout the process.</w:t>
      </w:r>
    </w:p>
    <w:p w14:paraId="37DC8462" w14:textId="77777777" w:rsidR="00513E0C" w:rsidRDefault="00513E0C" w:rsidP="00D34BE6">
      <w:pPr>
        <w:jc w:val="both"/>
        <w:rPr>
          <w:rStyle w:val="fontstyle01"/>
          <w:rFonts w:ascii="Arial" w:hAnsi="Arial" w:cs="Arial"/>
        </w:rPr>
      </w:pPr>
    </w:p>
    <w:p w14:paraId="21CF83E3" w14:textId="77777777" w:rsidR="00513E0C" w:rsidRDefault="00513E0C" w:rsidP="00D34BE6">
      <w:pPr>
        <w:jc w:val="both"/>
        <w:rPr>
          <w:rStyle w:val="fontstyle01"/>
          <w:rFonts w:ascii="Arial" w:hAnsi="Arial" w:cs="Arial"/>
        </w:rPr>
      </w:pPr>
    </w:p>
    <w:p w14:paraId="31035E9A" w14:textId="77777777" w:rsidR="00513E0C" w:rsidRPr="00513E0C" w:rsidRDefault="00513E0C" w:rsidP="00D34BE6">
      <w:pPr>
        <w:jc w:val="both"/>
        <w:rPr>
          <w:rFonts w:ascii="Arial" w:hAnsi="Arial" w:cs="Arial"/>
        </w:rPr>
      </w:pPr>
    </w:p>
    <w:sectPr w:rsidR="00513E0C" w:rsidRPr="00513E0C" w:rsidSect="00321C69">
      <w:footerReference w:type="default" r:id="rId13"/>
      <w:pgSz w:w="16838" w:h="11906" w:orient="landscape"/>
      <w:pgMar w:top="1440" w:right="5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331B" w14:textId="77777777" w:rsidR="007C0C9F" w:rsidRDefault="007C0C9F" w:rsidP="007C0C9F">
      <w:r>
        <w:separator/>
      </w:r>
    </w:p>
  </w:endnote>
  <w:endnote w:type="continuationSeparator" w:id="0">
    <w:p w14:paraId="1C27E7B7" w14:textId="77777777" w:rsidR="007C0C9F" w:rsidRDefault="007C0C9F" w:rsidP="007C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B27E" w14:textId="77777777" w:rsidR="007C0C9F" w:rsidRDefault="007C0C9F">
    <w:pPr>
      <w:pStyle w:val="Footer"/>
    </w:pPr>
  </w:p>
  <w:p w14:paraId="146761CB" w14:textId="77777777" w:rsidR="007C0C9F" w:rsidRDefault="007C0C9F">
    <w:pPr>
      <w:pStyle w:val="Footer"/>
    </w:pPr>
    <w:r>
      <w:rPr>
        <w:noProof/>
        <w:lang w:eastAsia="en-GB"/>
      </w:rPr>
      <w:drawing>
        <wp:inline distT="0" distB="0" distL="0" distR="0" wp14:anchorId="77C7E553" wp14:editId="4AB5870E">
          <wp:extent cx="5731510" cy="828040"/>
          <wp:effectExtent l="0" t="0" r="2540" b="0"/>
          <wp:docPr id="1" name="Picture 1" descr="cid:image005.jpg@01D82277.8D7A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82277.8D7AD6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88AF" w14:textId="77777777" w:rsidR="007C0C9F" w:rsidRDefault="007C0C9F" w:rsidP="007C0C9F">
      <w:r>
        <w:separator/>
      </w:r>
    </w:p>
  </w:footnote>
  <w:footnote w:type="continuationSeparator" w:id="0">
    <w:p w14:paraId="1FAFA591" w14:textId="77777777" w:rsidR="007C0C9F" w:rsidRDefault="007C0C9F" w:rsidP="007C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7D64"/>
    <w:multiLevelType w:val="hybridMultilevel"/>
    <w:tmpl w:val="5F9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13623"/>
    <w:multiLevelType w:val="hybridMultilevel"/>
    <w:tmpl w:val="199A71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706779">
    <w:abstractNumId w:val="0"/>
  </w:num>
  <w:num w:numId="2" w16cid:durableId="144124781">
    <w:abstractNumId w:val="4"/>
  </w:num>
  <w:num w:numId="3" w16cid:durableId="1107390598">
    <w:abstractNumId w:val="3"/>
  </w:num>
  <w:num w:numId="4" w16cid:durableId="398984516">
    <w:abstractNumId w:val="1"/>
  </w:num>
  <w:num w:numId="5" w16cid:durableId="1531803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6"/>
    <w:rsid w:val="0001036C"/>
    <w:rsid w:val="000120EA"/>
    <w:rsid w:val="00034AEE"/>
    <w:rsid w:val="00061D46"/>
    <w:rsid w:val="000A2782"/>
    <w:rsid w:val="000A57E7"/>
    <w:rsid w:val="000B4F06"/>
    <w:rsid w:val="000E01FB"/>
    <w:rsid w:val="000E7B16"/>
    <w:rsid w:val="000F7907"/>
    <w:rsid w:val="000F7BA9"/>
    <w:rsid w:val="00126AAE"/>
    <w:rsid w:val="001606C4"/>
    <w:rsid w:val="0017342D"/>
    <w:rsid w:val="00191BA5"/>
    <w:rsid w:val="002200A0"/>
    <w:rsid w:val="00223B02"/>
    <w:rsid w:val="002344EC"/>
    <w:rsid w:val="00244458"/>
    <w:rsid w:val="002A489D"/>
    <w:rsid w:val="002B5D8C"/>
    <w:rsid w:val="002C0F20"/>
    <w:rsid w:val="002E30C4"/>
    <w:rsid w:val="00300E47"/>
    <w:rsid w:val="00306BB9"/>
    <w:rsid w:val="00321C69"/>
    <w:rsid w:val="0033468C"/>
    <w:rsid w:val="00340E82"/>
    <w:rsid w:val="00343D0E"/>
    <w:rsid w:val="00396C05"/>
    <w:rsid w:val="003E6AD8"/>
    <w:rsid w:val="00420DF1"/>
    <w:rsid w:val="004320F0"/>
    <w:rsid w:val="00447D6C"/>
    <w:rsid w:val="00496883"/>
    <w:rsid w:val="00502A00"/>
    <w:rsid w:val="00513E0C"/>
    <w:rsid w:val="00570DF5"/>
    <w:rsid w:val="00575160"/>
    <w:rsid w:val="005E06F6"/>
    <w:rsid w:val="005F3ADF"/>
    <w:rsid w:val="0061555B"/>
    <w:rsid w:val="00635CC6"/>
    <w:rsid w:val="00684C15"/>
    <w:rsid w:val="006D39FF"/>
    <w:rsid w:val="006D7600"/>
    <w:rsid w:val="007262F3"/>
    <w:rsid w:val="00740CD3"/>
    <w:rsid w:val="00782ADE"/>
    <w:rsid w:val="007A349D"/>
    <w:rsid w:val="007C0C9F"/>
    <w:rsid w:val="007D0DED"/>
    <w:rsid w:val="007E055B"/>
    <w:rsid w:val="007E528C"/>
    <w:rsid w:val="008406DC"/>
    <w:rsid w:val="008E1469"/>
    <w:rsid w:val="00920E07"/>
    <w:rsid w:val="00972CFB"/>
    <w:rsid w:val="009B5ECF"/>
    <w:rsid w:val="009C2CDB"/>
    <w:rsid w:val="009E5C03"/>
    <w:rsid w:val="00A167A9"/>
    <w:rsid w:val="00A4217D"/>
    <w:rsid w:val="00A7654B"/>
    <w:rsid w:val="00AA2828"/>
    <w:rsid w:val="00AD6A56"/>
    <w:rsid w:val="00AF7D06"/>
    <w:rsid w:val="00BD7D1C"/>
    <w:rsid w:val="00BF2C3D"/>
    <w:rsid w:val="00BF6F1D"/>
    <w:rsid w:val="00C513C6"/>
    <w:rsid w:val="00C55172"/>
    <w:rsid w:val="00C90C0D"/>
    <w:rsid w:val="00CA4F17"/>
    <w:rsid w:val="00CC3CA2"/>
    <w:rsid w:val="00CC4CC3"/>
    <w:rsid w:val="00CD6C92"/>
    <w:rsid w:val="00CD7CEB"/>
    <w:rsid w:val="00CF5D8C"/>
    <w:rsid w:val="00D311A4"/>
    <w:rsid w:val="00D31C23"/>
    <w:rsid w:val="00D34BE6"/>
    <w:rsid w:val="00D7718C"/>
    <w:rsid w:val="00DD527C"/>
    <w:rsid w:val="00E11D2E"/>
    <w:rsid w:val="00E323A0"/>
    <w:rsid w:val="00ED64A3"/>
    <w:rsid w:val="00F4215A"/>
    <w:rsid w:val="00F45A62"/>
    <w:rsid w:val="00F66310"/>
    <w:rsid w:val="00FC5D43"/>
    <w:rsid w:val="00FD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3CB4"/>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7E528C"/>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528C"/>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13E0C"/>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7C0C9F"/>
    <w:pPr>
      <w:tabs>
        <w:tab w:val="center" w:pos="4513"/>
        <w:tab w:val="right" w:pos="9026"/>
      </w:tabs>
    </w:pPr>
  </w:style>
  <w:style w:type="character" w:customStyle="1" w:styleId="HeaderChar">
    <w:name w:val="Header Char"/>
    <w:basedOn w:val="DefaultParagraphFont"/>
    <w:link w:val="Header"/>
    <w:uiPriority w:val="99"/>
    <w:rsid w:val="007C0C9F"/>
    <w:rPr>
      <w:sz w:val="24"/>
      <w:szCs w:val="24"/>
    </w:rPr>
  </w:style>
  <w:style w:type="paragraph" w:styleId="Footer">
    <w:name w:val="footer"/>
    <w:basedOn w:val="Normal"/>
    <w:link w:val="FooterChar"/>
    <w:uiPriority w:val="99"/>
    <w:unhideWhenUsed/>
    <w:rsid w:val="007C0C9F"/>
    <w:pPr>
      <w:tabs>
        <w:tab w:val="center" w:pos="4513"/>
        <w:tab w:val="right" w:pos="9026"/>
      </w:tabs>
    </w:pPr>
  </w:style>
  <w:style w:type="character" w:customStyle="1" w:styleId="FooterChar">
    <w:name w:val="Footer Char"/>
    <w:basedOn w:val="DefaultParagraphFont"/>
    <w:link w:val="Footer"/>
    <w:uiPriority w:val="99"/>
    <w:rsid w:val="007C0C9F"/>
    <w:rPr>
      <w:sz w:val="24"/>
      <w:szCs w:val="24"/>
    </w:rPr>
  </w:style>
  <w:style w:type="table" w:customStyle="1" w:styleId="TableGrid2">
    <w:name w:val="Table Grid2"/>
    <w:basedOn w:val="TableNormal"/>
    <w:next w:val="TableGrid"/>
    <w:uiPriority w:val="39"/>
    <w:rsid w:val="002200A0"/>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217D"/>
    <w:rPr>
      <w:color w:val="605E5C"/>
      <w:shd w:val="clear" w:color="auto" w:fill="E1DFDD"/>
    </w:rPr>
  </w:style>
  <w:style w:type="paragraph" w:styleId="NormalWeb">
    <w:name w:val="Normal (Web)"/>
    <w:basedOn w:val="Normal"/>
    <w:uiPriority w:val="99"/>
    <w:unhideWhenUsed/>
    <w:rsid w:val="004320F0"/>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7281">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232152250">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1838.559E42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mocratic.bracknell-forest.gov.uk/ieListDocuments.aspx?CId=148&amp;MId=12093&amp;V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cratic.bracknell-forest.gov.uk/ieListDocuments.aspx?CId=148&amp;MId=11280&amp;Ver=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mocratic.bracknell-forest.gov.uk/ieListDocuments.aspx?CId=148&amp;MId=12036&amp;Ver=4" TargetMode="External"/><Relationship Id="rId4" Type="http://schemas.openxmlformats.org/officeDocument/2006/relationships/webSettings" Target="webSettings.xml"/><Relationship Id="rId9" Type="http://schemas.openxmlformats.org/officeDocument/2006/relationships/hyperlink" Target="https://decisionmaking.westberks.gov.uk/ieListDocuments.aspx?CId=449&amp;MId=7410&amp;Ver=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5.jpg@01D82277.8D7AD6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4</cp:revision>
  <dcterms:created xsi:type="dcterms:W3CDTF">2023-11-28T13:33:00Z</dcterms:created>
  <dcterms:modified xsi:type="dcterms:W3CDTF">2023-12-07T10:20:00Z</dcterms:modified>
</cp:coreProperties>
</file>