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3D89B" w14:textId="0CFE4116" w:rsidR="006F01C1" w:rsidRDefault="006F01C1" w:rsidP="006F01C1">
      <w:pPr>
        <w:pStyle w:val="NormalWeb"/>
        <w:jc w:val="right"/>
      </w:pPr>
      <w:r>
        <w:rPr>
          <w:noProof/>
        </w:rPr>
        <w:drawing>
          <wp:inline distT="0" distB="0" distL="0" distR="0" wp14:anchorId="4C9EA745" wp14:editId="79644C01">
            <wp:extent cx="1348519" cy="1079891"/>
            <wp:effectExtent l="0" t="0" r="4445" b="6350"/>
            <wp:docPr id="2028732501" name="Picture 1"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32501" name="Picture 1" descr="A logo with a deer hea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044" cy="1101933"/>
                    </a:xfrm>
                    <a:prstGeom prst="rect">
                      <a:avLst/>
                    </a:prstGeom>
                    <a:noFill/>
                    <a:ln>
                      <a:noFill/>
                    </a:ln>
                  </pic:spPr>
                </pic:pic>
              </a:graphicData>
            </a:graphic>
          </wp:inline>
        </w:drawing>
      </w:r>
    </w:p>
    <w:p w14:paraId="6BA8B9AE" w14:textId="1C9452F0" w:rsidR="00880F88" w:rsidRPr="0041072B" w:rsidRDefault="00880F88" w:rsidP="00880F88">
      <w:pPr>
        <w:spacing w:before="100" w:beforeAutospacing="1" w:after="100" w:afterAutospacing="1"/>
        <w:outlineLvl w:val="1"/>
        <w:rPr>
          <w:rFonts w:ascii="Arial" w:eastAsia="Times New Roman" w:hAnsi="Arial" w:cs="Arial"/>
          <w:b/>
          <w:bCs/>
          <w:sz w:val="32"/>
          <w:szCs w:val="32"/>
          <w:lang w:val="en" w:eastAsia="en-GB"/>
        </w:rPr>
      </w:pPr>
      <w:r w:rsidRPr="0041072B">
        <w:rPr>
          <w:rFonts w:ascii="Arial" w:eastAsia="Times New Roman" w:hAnsi="Arial" w:cs="Arial"/>
          <w:b/>
          <w:bCs/>
          <w:sz w:val="32"/>
          <w:szCs w:val="32"/>
          <w:lang w:val="en" w:eastAsia="en-GB"/>
        </w:rPr>
        <w:t xml:space="preserve">Notice </w:t>
      </w:r>
      <w:r>
        <w:rPr>
          <w:rFonts w:ascii="Arial" w:eastAsia="Times New Roman" w:hAnsi="Arial" w:cs="Arial"/>
          <w:b/>
          <w:bCs/>
          <w:sz w:val="32"/>
          <w:szCs w:val="32"/>
          <w:lang w:val="en" w:eastAsia="en-GB"/>
        </w:rPr>
        <w:t>o</w:t>
      </w:r>
      <w:r w:rsidRPr="0041072B">
        <w:rPr>
          <w:rFonts w:ascii="Arial" w:eastAsia="Times New Roman" w:hAnsi="Arial" w:cs="Arial"/>
          <w:b/>
          <w:bCs/>
          <w:sz w:val="32"/>
          <w:szCs w:val="32"/>
          <w:lang w:val="en" w:eastAsia="en-GB"/>
        </w:rPr>
        <w:t xml:space="preserve">f Publication </w:t>
      </w:r>
      <w:r>
        <w:rPr>
          <w:rFonts w:ascii="Arial" w:eastAsia="Times New Roman" w:hAnsi="Arial" w:cs="Arial"/>
          <w:b/>
          <w:bCs/>
          <w:sz w:val="32"/>
          <w:szCs w:val="32"/>
          <w:lang w:val="en" w:eastAsia="en-GB"/>
        </w:rPr>
        <w:t xml:space="preserve">of the </w:t>
      </w:r>
      <w:r w:rsidRPr="00880F88">
        <w:rPr>
          <w:rFonts w:ascii="Arial" w:hAnsi="Arial" w:cs="Arial"/>
          <w:b/>
          <w:sz w:val="32"/>
          <w:szCs w:val="32"/>
        </w:rPr>
        <w:t>Statement of Licensing Policy Principles under S.349 of The Gambling Act 2005</w:t>
      </w:r>
    </w:p>
    <w:p w14:paraId="78349569" w14:textId="77777777" w:rsidR="00081649" w:rsidRDefault="00081649" w:rsidP="00081649">
      <w:pPr>
        <w:rPr>
          <w:rFonts w:ascii="Arial" w:hAnsi="Arial" w:cs="Arial"/>
        </w:rPr>
      </w:pPr>
    </w:p>
    <w:p w14:paraId="1454C2FA" w14:textId="07FD14B4" w:rsidR="00081649" w:rsidRDefault="00081649" w:rsidP="00081649">
      <w:pPr>
        <w:rPr>
          <w:rFonts w:ascii="Arial" w:hAnsi="Arial" w:cs="Arial"/>
          <w:b/>
        </w:rPr>
      </w:pPr>
      <w:r>
        <w:rPr>
          <w:rFonts w:ascii="Arial" w:hAnsi="Arial" w:cs="Arial"/>
          <w:b/>
        </w:rPr>
        <w:t>Start of Consultation</w:t>
      </w:r>
    </w:p>
    <w:p w14:paraId="1147D107" w14:textId="77777777" w:rsidR="00081649" w:rsidRDefault="00081649" w:rsidP="00081649">
      <w:pPr>
        <w:rPr>
          <w:rFonts w:ascii="Arial" w:hAnsi="Arial" w:cs="Arial"/>
        </w:rPr>
      </w:pPr>
    </w:p>
    <w:p w14:paraId="3579531C" w14:textId="26E22C56" w:rsidR="00081649" w:rsidRPr="00081649" w:rsidRDefault="0095464D" w:rsidP="00081649">
      <w:pPr>
        <w:rPr>
          <w:rFonts w:ascii="Arial" w:hAnsi="Arial" w:cs="Arial"/>
        </w:rPr>
      </w:pPr>
      <w:r>
        <w:rPr>
          <w:rFonts w:ascii="Arial" w:hAnsi="Arial" w:cs="Arial"/>
        </w:rPr>
        <w:t>25 October 2024</w:t>
      </w:r>
    </w:p>
    <w:p w14:paraId="1310028D" w14:textId="77777777" w:rsidR="00081649" w:rsidRDefault="00081649" w:rsidP="00081649">
      <w:pPr>
        <w:rPr>
          <w:rFonts w:ascii="Arial" w:hAnsi="Arial" w:cs="Arial"/>
          <w:b/>
        </w:rPr>
      </w:pPr>
    </w:p>
    <w:p w14:paraId="44963D41" w14:textId="77777777" w:rsidR="00081649" w:rsidRPr="00081649" w:rsidRDefault="00081649" w:rsidP="00081649">
      <w:pPr>
        <w:rPr>
          <w:rFonts w:ascii="Arial" w:hAnsi="Arial" w:cs="Arial"/>
          <w:b/>
        </w:rPr>
      </w:pPr>
      <w:r w:rsidRPr="00081649">
        <w:rPr>
          <w:rFonts w:ascii="Arial" w:hAnsi="Arial" w:cs="Arial"/>
          <w:b/>
        </w:rPr>
        <w:t>Deadline date for responses</w:t>
      </w:r>
    </w:p>
    <w:p w14:paraId="52B8C8FE" w14:textId="77777777" w:rsidR="00081649" w:rsidRPr="00081649" w:rsidRDefault="00081649" w:rsidP="00081649">
      <w:pPr>
        <w:rPr>
          <w:rFonts w:ascii="Arial" w:hAnsi="Arial" w:cs="Arial"/>
        </w:rPr>
      </w:pPr>
    </w:p>
    <w:p w14:paraId="1603A512" w14:textId="43E04B46" w:rsidR="00081649" w:rsidRPr="00081649" w:rsidRDefault="0095464D" w:rsidP="00081649">
      <w:pPr>
        <w:rPr>
          <w:rFonts w:ascii="Arial" w:hAnsi="Arial" w:cs="Arial"/>
        </w:rPr>
      </w:pPr>
      <w:r>
        <w:rPr>
          <w:rFonts w:ascii="Arial" w:hAnsi="Arial" w:cs="Arial"/>
        </w:rPr>
        <w:t>06 December 2024</w:t>
      </w:r>
    </w:p>
    <w:p w14:paraId="51BB54FB" w14:textId="77777777" w:rsidR="00081649" w:rsidRPr="00081649" w:rsidRDefault="00081649" w:rsidP="00081649">
      <w:pPr>
        <w:rPr>
          <w:rFonts w:ascii="Arial" w:hAnsi="Arial" w:cs="Arial"/>
        </w:rPr>
      </w:pPr>
    </w:p>
    <w:p w14:paraId="201D1BBB" w14:textId="77777777" w:rsidR="00081649" w:rsidRPr="00081649" w:rsidRDefault="00081649" w:rsidP="00081649">
      <w:pPr>
        <w:rPr>
          <w:rFonts w:ascii="Arial" w:hAnsi="Arial" w:cs="Arial"/>
          <w:b/>
        </w:rPr>
      </w:pPr>
      <w:r w:rsidRPr="00081649">
        <w:rPr>
          <w:rFonts w:ascii="Arial" w:hAnsi="Arial" w:cs="Arial"/>
          <w:b/>
        </w:rPr>
        <w:t>Deadline time for responses</w:t>
      </w:r>
    </w:p>
    <w:p w14:paraId="17BDA52F" w14:textId="77777777" w:rsidR="00081649" w:rsidRPr="00081649" w:rsidRDefault="00081649" w:rsidP="00081649">
      <w:pPr>
        <w:rPr>
          <w:rFonts w:ascii="Arial" w:hAnsi="Arial" w:cs="Arial"/>
        </w:rPr>
      </w:pPr>
    </w:p>
    <w:p w14:paraId="6176C427" w14:textId="77777777" w:rsidR="00081649" w:rsidRPr="00081649" w:rsidRDefault="00081649" w:rsidP="00081649">
      <w:pPr>
        <w:rPr>
          <w:rFonts w:ascii="Arial" w:hAnsi="Arial" w:cs="Arial"/>
        </w:rPr>
      </w:pPr>
      <w:r w:rsidRPr="00081649">
        <w:rPr>
          <w:rFonts w:ascii="Arial" w:hAnsi="Arial" w:cs="Arial"/>
        </w:rPr>
        <w:t>11:59</w:t>
      </w:r>
    </w:p>
    <w:p w14:paraId="24500255" w14:textId="77777777" w:rsidR="00081649" w:rsidRPr="00081649" w:rsidRDefault="00081649" w:rsidP="00081649">
      <w:pPr>
        <w:rPr>
          <w:rFonts w:ascii="Arial" w:hAnsi="Arial" w:cs="Arial"/>
        </w:rPr>
      </w:pPr>
    </w:p>
    <w:p w14:paraId="01C2B64A" w14:textId="114C4C4A" w:rsidR="00081649" w:rsidRDefault="00114F1D" w:rsidP="00081649">
      <w:pPr>
        <w:rPr>
          <w:rFonts w:ascii="Arial" w:hAnsi="Arial" w:cs="Arial"/>
          <w:b/>
        </w:rPr>
      </w:pPr>
      <w:r>
        <w:rPr>
          <w:rFonts w:ascii="Arial" w:hAnsi="Arial" w:cs="Arial"/>
          <w:b/>
        </w:rPr>
        <w:t>Background</w:t>
      </w:r>
    </w:p>
    <w:p w14:paraId="6024BCDE" w14:textId="3E059B9E" w:rsidR="0095464D" w:rsidRDefault="00326301" w:rsidP="00114F1D">
      <w:pPr>
        <w:jc w:val="both"/>
        <w:rPr>
          <w:rFonts w:ascii="Arial" w:hAnsi="Arial" w:cs="Arial"/>
          <w:bCs/>
        </w:rPr>
      </w:pPr>
      <w:r>
        <w:rPr>
          <w:rFonts w:ascii="Arial" w:hAnsi="Arial" w:cs="Arial"/>
          <w:bCs/>
        </w:rPr>
        <w:t>Bracknell Forest Council</w:t>
      </w:r>
      <w:r w:rsidR="0095464D" w:rsidRPr="0095464D">
        <w:rPr>
          <w:rFonts w:ascii="Arial" w:hAnsi="Arial" w:cs="Arial"/>
          <w:bCs/>
        </w:rPr>
        <w:t xml:space="preserve">, along with all other licensing authorities, are required to prepare, </w:t>
      </w:r>
      <w:proofErr w:type="gramStart"/>
      <w:r w:rsidR="0095464D" w:rsidRPr="0095464D">
        <w:rPr>
          <w:rFonts w:ascii="Arial" w:hAnsi="Arial" w:cs="Arial"/>
          <w:bCs/>
        </w:rPr>
        <w:t>adopt</w:t>
      </w:r>
      <w:proofErr w:type="gramEnd"/>
      <w:r w:rsidR="0095464D" w:rsidRPr="0095464D">
        <w:rPr>
          <w:rFonts w:ascii="Arial" w:hAnsi="Arial" w:cs="Arial"/>
          <w:bCs/>
        </w:rPr>
        <w:t xml:space="preserve"> and publish a</w:t>
      </w:r>
      <w:r w:rsidR="00114F1D">
        <w:rPr>
          <w:rFonts w:ascii="Arial" w:hAnsi="Arial" w:cs="Arial"/>
          <w:bCs/>
        </w:rPr>
        <w:t xml:space="preserve"> </w:t>
      </w:r>
      <w:r w:rsidR="00114F1D" w:rsidRPr="000F712B">
        <w:rPr>
          <w:rFonts w:cs="Arial"/>
          <w:szCs w:val="22"/>
        </w:rPr>
        <w:t>Statement</w:t>
      </w:r>
      <w:r w:rsidR="00114F1D">
        <w:rPr>
          <w:rFonts w:cs="Arial"/>
          <w:szCs w:val="22"/>
        </w:rPr>
        <w:t xml:space="preserve"> o</w:t>
      </w:r>
      <w:r w:rsidR="00114F1D" w:rsidRPr="000F712B">
        <w:rPr>
          <w:rFonts w:cs="Arial"/>
          <w:szCs w:val="22"/>
        </w:rPr>
        <w:t>f Licensing Policy Principles</w:t>
      </w:r>
      <w:r w:rsidR="00114F1D">
        <w:rPr>
          <w:rFonts w:cs="Arial"/>
          <w:szCs w:val="22"/>
        </w:rPr>
        <w:t xml:space="preserve"> (hereafter known as the Statement)</w:t>
      </w:r>
      <w:r w:rsidR="0095464D" w:rsidRPr="0095464D">
        <w:rPr>
          <w:rFonts w:ascii="Arial" w:hAnsi="Arial" w:cs="Arial"/>
          <w:bCs/>
        </w:rPr>
        <w:t xml:space="preserve"> setting the approach to applications under the</w:t>
      </w:r>
      <w:r w:rsidR="00114F1D">
        <w:rPr>
          <w:rFonts w:ascii="Arial" w:hAnsi="Arial" w:cs="Arial"/>
          <w:bCs/>
        </w:rPr>
        <w:t xml:space="preserve"> G</w:t>
      </w:r>
      <w:r w:rsidR="0095464D" w:rsidRPr="0095464D">
        <w:rPr>
          <w:rFonts w:ascii="Arial" w:hAnsi="Arial" w:cs="Arial"/>
          <w:bCs/>
        </w:rPr>
        <w:t>ambling Act 2005 (hereafter known as The Act) and the information applicants are</w:t>
      </w:r>
      <w:r w:rsidR="00114F1D">
        <w:rPr>
          <w:rFonts w:ascii="Arial" w:hAnsi="Arial" w:cs="Arial"/>
          <w:bCs/>
        </w:rPr>
        <w:t xml:space="preserve"> </w:t>
      </w:r>
      <w:r w:rsidR="0095464D" w:rsidRPr="0095464D">
        <w:rPr>
          <w:rFonts w:ascii="Arial" w:hAnsi="Arial" w:cs="Arial"/>
          <w:bCs/>
        </w:rPr>
        <w:t>expected to provide.</w:t>
      </w:r>
    </w:p>
    <w:p w14:paraId="7C6E8A41" w14:textId="1D0C87AD" w:rsidR="00114F1D" w:rsidRPr="0095464D" w:rsidRDefault="00114F1D" w:rsidP="00114F1D">
      <w:pPr>
        <w:jc w:val="both"/>
        <w:rPr>
          <w:rFonts w:ascii="Arial" w:hAnsi="Arial" w:cs="Arial"/>
          <w:bCs/>
        </w:rPr>
      </w:pPr>
    </w:p>
    <w:p w14:paraId="57C3B8A0" w14:textId="77777777" w:rsidR="0095464D" w:rsidRDefault="0095464D" w:rsidP="00114F1D">
      <w:pPr>
        <w:jc w:val="both"/>
        <w:rPr>
          <w:rFonts w:ascii="Arial" w:hAnsi="Arial" w:cs="Arial"/>
          <w:bCs/>
        </w:rPr>
      </w:pPr>
      <w:r w:rsidRPr="0095464D">
        <w:rPr>
          <w:rFonts w:ascii="Arial" w:hAnsi="Arial" w:cs="Arial"/>
          <w:bCs/>
        </w:rPr>
        <w:t xml:space="preserve">The </w:t>
      </w:r>
      <w:r w:rsidR="00114F1D">
        <w:rPr>
          <w:rFonts w:ascii="Arial" w:hAnsi="Arial" w:cs="Arial"/>
          <w:bCs/>
        </w:rPr>
        <w:t>Statement</w:t>
      </w:r>
      <w:r w:rsidRPr="0095464D">
        <w:rPr>
          <w:rFonts w:ascii="Arial" w:hAnsi="Arial" w:cs="Arial"/>
          <w:bCs/>
        </w:rPr>
        <w:t xml:space="preserve"> seeks to promote the guidance set out by the Gambling Commission and the</w:t>
      </w:r>
      <w:r w:rsidR="00114F1D">
        <w:rPr>
          <w:rFonts w:ascii="Arial" w:hAnsi="Arial" w:cs="Arial"/>
          <w:bCs/>
        </w:rPr>
        <w:t xml:space="preserve"> </w:t>
      </w:r>
      <w:r w:rsidRPr="0095464D">
        <w:rPr>
          <w:rFonts w:ascii="Arial" w:hAnsi="Arial" w:cs="Arial"/>
          <w:bCs/>
        </w:rPr>
        <w:t>three licensing objectives of:</w:t>
      </w:r>
    </w:p>
    <w:p w14:paraId="37BAD840" w14:textId="1E85D137" w:rsidR="00114F1D" w:rsidRPr="0095464D" w:rsidRDefault="00114F1D" w:rsidP="00114F1D">
      <w:pPr>
        <w:jc w:val="both"/>
        <w:rPr>
          <w:rFonts w:ascii="Arial" w:hAnsi="Arial" w:cs="Arial"/>
          <w:bCs/>
        </w:rPr>
      </w:pPr>
    </w:p>
    <w:p w14:paraId="0A8EAF44" w14:textId="184F51B7" w:rsidR="0095464D" w:rsidRPr="00326301" w:rsidRDefault="0095464D" w:rsidP="00326301">
      <w:pPr>
        <w:pStyle w:val="ListParagraph"/>
        <w:numPr>
          <w:ilvl w:val="0"/>
          <w:numId w:val="6"/>
        </w:numPr>
        <w:jc w:val="both"/>
        <w:rPr>
          <w:rFonts w:ascii="Arial" w:hAnsi="Arial" w:cs="Arial"/>
          <w:bCs/>
        </w:rPr>
      </w:pPr>
      <w:r w:rsidRPr="00326301">
        <w:rPr>
          <w:rFonts w:ascii="Arial" w:hAnsi="Arial" w:cs="Arial"/>
          <w:bCs/>
        </w:rPr>
        <w:t>preventing gambling from being a source of crime or disorder, being associated with</w:t>
      </w:r>
      <w:r w:rsidR="00114F1D" w:rsidRPr="00326301">
        <w:rPr>
          <w:rFonts w:ascii="Arial" w:hAnsi="Arial" w:cs="Arial"/>
          <w:bCs/>
        </w:rPr>
        <w:t xml:space="preserve"> </w:t>
      </w:r>
      <w:r w:rsidRPr="00326301">
        <w:rPr>
          <w:rFonts w:ascii="Arial" w:hAnsi="Arial" w:cs="Arial"/>
          <w:bCs/>
        </w:rPr>
        <w:t xml:space="preserve">crime or disorder or being used to support </w:t>
      </w:r>
      <w:proofErr w:type="gramStart"/>
      <w:r w:rsidRPr="00326301">
        <w:rPr>
          <w:rFonts w:ascii="Arial" w:hAnsi="Arial" w:cs="Arial"/>
          <w:bCs/>
        </w:rPr>
        <w:t>crime</w:t>
      </w:r>
      <w:proofErr w:type="gramEnd"/>
    </w:p>
    <w:p w14:paraId="1606D3D0" w14:textId="2C85D991" w:rsidR="0095464D" w:rsidRPr="00326301" w:rsidRDefault="0095464D" w:rsidP="00326301">
      <w:pPr>
        <w:pStyle w:val="ListParagraph"/>
        <w:numPr>
          <w:ilvl w:val="0"/>
          <w:numId w:val="6"/>
        </w:numPr>
        <w:jc w:val="both"/>
        <w:rPr>
          <w:rFonts w:ascii="Arial" w:hAnsi="Arial" w:cs="Arial"/>
          <w:bCs/>
        </w:rPr>
      </w:pPr>
      <w:r w:rsidRPr="00326301">
        <w:rPr>
          <w:rFonts w:ascii="Arial" w:hAnsi="Arial" w:cs="Arial"/>
          <w:bCs/>
        </w:rPr>
        <w:t xml:space="preserve">ensuring that gambling is conducted in a fair and open </w:t>
      </w:r>
      <w:proofErr w:type="gramStart"/>
      <w:r w:rsidRPr="00326301">
        <w:rPr>
          <w:rFonts w:ascii="Arial" w:hAnsi="Arial" w:cs="Arial"/>
          <w:bCs/>
        </w:rPr>
        <w:t>way</w:t>
      </w:r>
      <w:proofErr w:type="gramEnd"/>
    </w:p>
    <w:p w14:paraId="406311FC" w14:textId="1F954EE1" w:rsidR="0095464D" w:rsidRPr="00326301" w:rsidRDefault="0095464D" w:rsidP="00326301">
      <w:pPr>
        <w:pStyle w:val="ListParagraph"/>
        <w:numPr>
          <w:ilvl w:val="0"/>
          <w:numId w:val="6"/>
        </w:numPr>
        <w:jc w:val="both"/>
        <w:rPr>
          <w:rFonts w:ascii="Arial" w:hAnsi="Arial" w:cs="Arial"/>
          <w:bCs/>
        </w:rPr>
      </w:pPr>
      <w:r w:rsidRPr="00326301">
        <w:rPr>
          <w:rFonts w:ascii="Arial" w:hAnsi="Arial" w:cs="Arial"/>
          <w:bCs/>
        </w:rPr>
        <w:t>protecting children and other vulnerable persons from being harmed or exploited by</w:t>
      </w:r>
      <w:r w:rsidR="00114F1D" w:rsidRPr="00326301">
        <w:rPr>
          <w:rFonts w:ascii="Arial" w:hAnsi="Arial" w:cs="Arial"/>
          <w:bCs/>
        </w:rPr>
        <w:t xml:space="preserve"> </w:t>
      </w:r>
      <w:proofErr w:type="gramStart"/>
      <w:r w:rsidR="00114F1D" w:rsidRPr="00326301">
        <w:rPr>
          <w:rFonts w:ascii="Arial" w:hAnsi="Arial" w:cs="Arial"/>
          <w:bCs/>
        </w:rPr>
        <w:t>G</w:t>
      </w:r>
      <w:r w:rsidRPr="00326301">
        <w:rPr>
          <w:rFonts w:ascii="Arial" w:hAnsi="Arial" w:cs="Arial"/>
          <w:bCs/>
        </w:rPr>
        <w:t>ambling</w:t>
      </w:r>
      <w:proofErr w:type="gramEnd"/>
    </w:p>
    <w:p w14:paraId="00333065" w14:textId="77777777" w:rsidR="00114F1D" w:rsidRPr="0095464D" w:rsidRDefault="00114F1D" w:rsidP="00114F1D">
      <w:pPr>
        <w:jc w:val="both"/>
        <w:rPr>
          <w:rFonts w:ascii="Arial" w:hAnsi="Arial" w:cs="Arial"/>
          <w:bCs/>
        </w:rPr>
      </w:pPr>
    </w:p>
    <w:p w14:paraId="33B5C777" w14:textId="16DBE3E7" w:rsidR="0095464D" w:rsidRDefault="0095464D" w:rsidP="00114F1D">
      <w:pPr>
        <w:jc w:val="both"/>
        <w:rPr>
          <w:rFonts w:ascii="Arial" w:hAnsi="Arial" w:cs="Arial"/>
          <w:bCs/>
        </w:rPr>
      </w:pPr>
      <w:r w:rsidRPr="0095464D">
        <w:rPr>
          <w:rFonts w:ascii="Arial" w:hAnsi="Arial" w:cs="Arial"/>
          <w:bCs/>
        </w:rPr>
        <w:t xml:space="preserve">The </w:t>
      </w:r>
      <w:r w:rsidR="00114F1D">
        <w:rPr>
          <w:rFonts w:ascii="Arial" w:hAnsi="Arial" w:cs="Arial"/>
          <w:bCs/>
        </w:rPr>
        <w:t>Statement</w:t>
      </w:r>
      <w:r w:rsidRPr="0095464D">
        <w:rPr>
          <w:rFonts w:ascii="Arial" w:hAnsi="Arial" w:cs="Arial"/>
          <w:bCs/>
        </w:rPr>
        <w:t xml:space="preserve"> guides the administration of licensing under The Act and helps to ensure that an</w:t>
      </w:r>
      <w:r w:rsidR="00114F1D">
        <w:rPr>
          <w:rFonts w:ascii="Arial" w:hAnsi="Arial" w:cs="Arial"/>
          <w:bCs/>
        </w:rPr>
        <w:t xml:space="preserve"> </w:t>
      </w:r>
      <w:r w:rsidRPr="0095464D">
        <w:rPr>
          <w:rFonts w:ascii="Arial" w:hAnsi="Arial" w:cs="Arial"/>
          <w:bCs/>
        </w:rPr>
        <w:t>appropriate balance is drawn between the interests of those wishing to provide and take part</w:t>
      </w:r>
      <w:r w:rsidR="00114F1D">
        <w:rPr>
          <w:rFonts w:ascii="Arial" w:hAnsi="Arial" w:cs="Arial"/>
          <w:bCs/>
        </w:rPr>
        <w:t xml:space="preserve"> i</w:t>
      </w:r>
      <w:r w:rsidRPr="0095464D">
        <w:rPr>
          <w:rFonts w:ascii="Arial" w:hAnsi="Arial" w:cs="Arial"/>
          <w:bCs/>
        </w:rPr>
        <w:t>n legal gambling, and those who might be adversely affected by such activities.</w:t>
      </w:r>
    </w:p>
    <w:p w14:paraId="2A549C6C" w14:textId="77777777" w:rsidR="00114F1D" w:rsidRPr="0095464D" w:rsidRDefault="00114F1D" w:rsidP="0095464D">
      <w:pPr>
        <w:rPr>
          <w:rFonts w:ascii="Arial" w:hAnsi="Arial" w:cs="Arial"/>
          <w:bCs/>
        </w:rPr>
      </w:pPr>
    </w:p>
    <w:p w14:paraId="08C48B43" w14:textId="455B762E" w:rsidR="0095464D" w:rsidRDefault="0095464D" w:rsidP="00114F1D">
      <w:pPr>
        <w:jc w:val="both"/>
        <w:rPr>
          <w:rFonts w:ascii="Arial" w:hAnsi="Arial" w:cs="Arial"/>
          <w:bCs/>
        </w:rPr>
      </w:pPr>
      <w:r w:rsidRPr="0095464D">
        <w:rPr>
          <w:rFonts w:ascii="Arial" w:hAnsi="Arial" w:cs="Arial"/>
          <w:bCs/>
        </w:rPr>
        <w:t xml:space="preserve">Under the Act, we are required to review our </w:t>
      </w:r>
      <w:r w:rsidR="00114F1D">
        <w:rPr>
          <w:rFonts w:ascii="Arial" w:hAnsi="Arial" w:cs="Arial"/>
          <w:bCs/>
        </w:rPr>
        <w:t>Statement</w:t>
      </w:r>
      <w:r w:rsidRPr="0095464D">
        <w:rPr>
          <w:rFonts w:ascii="Arial" w:hAnsi="Arial" w:cs="Arial"/>
          <w:bCs/>
        </w:rPr>
        <w:t xml:space="preserve"> at least every three years or when we</w:t>
      </w:r>
      <w:r w:rsidR="00114F1D">
        <w:rPr>
          <w:rFonts w:ascii="Arial" w:hAnsi="Arial" w:cs="Arial"/>
          <w:bCs/>
        </w:rPr>
        <w:t xml:space="preserve"> </w:t>
      </w:r>
      <w:r w:rsidRPr="0095464D">
        <w:rPr>
          <w:rFonts w:ascii="Arial" w:hAnsi="Arial" w:cs="Arial"/>
          <w:bCs/>
        </w:rPr>
        <w:t xml:space="preserve">believe the </w:t>
      </w:r>
      <w:r w:rsidR="00114F1D">
        <w:rPr>
          <w:rFonts w:ascii="Arial" w:hAnsi="Arial" w:cs="Arial"/>
          <w:bCs/>
        </w:rPr>
        <w:t>document</w:t>
      </w:r>
      <w:r w:rsidRPr="0095464D">
        <w:rPr>
          <w:rFonts w:ascii="Arial" w:hAnsi="Arial" w:cs="Arial"/>
          <w:bCs/>
        </w:rPr>
        <w:t xml:space="preserve"> requires updating. The current </w:t>
      </w:r>
      <w:r w:rsidR="00114F1D">
        <w:rPr>
          <w:rFonts w:ascii="Arial" w:hAnsi="Arial" w:cs="Arial"/>
          <w:bCs/>
        </w:rPr>
        <w:t>Statement</w:t>
      </w:r>
      <w:r w:rsidRPr="0095464D">
        <w:rPr>
          <w:rFonts w:ascii="Arial" w:hAnsi="Arial" w:cs="Arial"/>
          <w:bCs/>
        </w:rPr>
        <w:t xml:space="preserve"> period ends on Friday, 31 January</w:t>
      </w:r>
      <w:r w:rsidR="00114F1D">
        <w:rPr>
          <w:rFonts w:ascii="Arial" w:hAnsi="Arial" w:cs="Arial"/>
          <w:bCs/>
        </w:rPr>
        <w:t xml:space="preserve"> </w:t>
      </w:r>
      <w:r w:rsidRPr="0095464D">
        <w:rPr>
          <w:rFonts w:ascii="Arial" w:hAnsi="Arial" w:cs="Arial"/>
          <w:bCs/>
        </w:rPr>
        <w:t>2025.</w:t>
      </w:r>
    </w:p>
    <w:p w14:paraId="4D61A0B2" w14:textId="38665A9F" w:rsidR="00114F1D" w:rsidRPr="0095464D" w:rsidRDefault="00114F1D" w:rsidP="0095464D">
      <w:pPr>
        <w:rPr>
          <w:rFonts w:ascii="Arial" w:hAnsi="Arial" w:cs="Arial"/>
          <w:bCs/>
        </w:rPr>
      </w:pPr>
    </w:p>
    <w:p w14:paraId="1EE66EB7" w14:textId="77777777" w:rsidR="0095464D" w:rsidRDefault="0095464D" w:rsidP="00114F1D">
      <w:pPr>
        <w:jc w:val="both"/>
        <w:rPr>
          <w:rFonts w:ascii="Arial" w:hAnsi="Arial" w:cs="Arial"/>
          <w:bCs/>
        </w:rPr>
      </w:pPr>
      <w:r w:rsidRPr="0095464D">
        <w:rPr>
          <w:rFonts w:ascii="Arial" w:hAnsi="Arial" w:cs="Arial"/>
          <w:bCs/>
        </w:rPr>
        <w:t xml:space="preserve">The </w:t>
      </w:r>
      <w:hyperlink r:id="rId6" w:history="1">
        <w:r w:rsidRPr="00114F1D">
          <w:rPr>
            <w:rStyle w:val="Hyperlink"/>
            <w:rFonts w:ascii="Arial" w:hAnsi="Arial" w:cs="Arial"/>
            <w:b/>
          </w:rPr>
          <w:t xml:space="preserve">current </w:t>
        </w:r>
        <w:r w:rsidR="00114F1D" w:rsidRPr="00114F1D">
          <w:rPr>
            <w:rStyle w:val="Hyperlink"/>
            <w:rFonts w:ascii="Arial" w:hAnsi="Arial" w:cs="Arial"/>
            <w:b/>
          </w:rPr>
          <w:t>Statement</w:t>
        </w:r>
      </w:hyperlink>
      <w:r w:rsidRPr="0095464D">
        <w:rPr>
          <w:rFonts w:ascii="Arial" w:hAnsi="Arial" w:cs="Arial"/>
          <w:bCs/>
        </w:rPr>
        <w:t xml:space="preserve"> has not been the subject of any legal challenge or complaint. It is</w:t>
      </w:r>
      <w:r w:rsidR="00114F1D">
        <w:rPr>
          <w:rFonts w:ascii="Arial" w:hAnsi="Arial" w:cs="Arial"/>
          <w:bCs/>
        </w:rPr>
        <w:t xml:space="preserve"> </w:t>
      </w:r>
      <w:r w:rsidR="00114F1D" w:rsidRPr="0095464D">
        <w:rPr>
          <w:rFonts w:ascii="Arial" w:hAnsi="Arial" w:cs="Arial"/>
          <w:bCs/>
        </w:rPr>
        <w:t>therefore,</w:t>
      </w:r>
      <w:r w:rsidRPr="0095464D">
        <w:rPr>
          <w:rFonts w:ascii="Arial" w:hAnsi="Arial" w:cs="Arial"/>
          <w:bCs/>
        </w:rPr>
        <w:t xml:space="preserve"> considered that the current Statement remains fit for</w:t>
      </w:r>
      <w:r w:rsidR="00114F1D">
        <w:rPr>
          <w:rFonts w:ascii="Arial" w:hAnsi="Arial" w:cs="Arial"/>
          <w:bCs/>
        </w:rPr>
        <w:t xml:space="preserve"> </w:t>
      </w:r>
      <w:r w:rsidRPr="0095464D">
        <w:rPr>
          <w:rFonts w:ascii="Arial" w:hAnsi="Arial" w:cs="Arial"/>
          <w:bCs/>
        </w:rPr>
        <w:t>purpose and only minor amendments are proposed. However, s.349 (3) Gambling Act 2005</w:t>
      </w:r>
      <w:r w:rsidR="00114F1D">
        <w:rPr>
          <w:rFonts w:ascii="Arial" w:hAnsi="Arial" w:cs="Arial"/>
          <w:bCs/>
        </w:rPr>
        <w:t xml:space="preserve"> </w:t>
      </w:r>
      <w:r w:rsidRPr="0095464D">
        <w:rPr>
          <w:rFonts w:ascii="Arial" w:hAnsi="Arial" w:cs="Arial"/>
          <w:bCs/>
        </w:rPr>
        <w:t xml:space="preserve">requires a licensing authority to consult when "preparing a statement or </w:t>
      </w:r>
      <w:proofErr w:type="gramStart"/>
      <w:r w:rsidRPr="0095464D">
        <w:rPr>
          <w:rFonts w:ascii="Arial" w:hAnsi="Arial" w:cs="Arial"/>
          <w:bCs/>
        </w:rPr>
        <w:t>revision"</w:t>
      </w:r>
      <w:proofErr w:type="gramEnd"/>
    </w:p>
    <w:p w14:paraId="651F0935" w14:textId="77777777" w:rsidR="00114F1D" w:rsidRDefault="00114F1D" w:rsidP="00114F1D">
      <w:pPr>
        <w:jc w:val="both"/>
        <w:rPr>
          <w:rFonts w:ascii="Arial" w:hAnsi="Arial" w:cs="Arial"/>
          <w:bCs/>
        </w:rPr>
      </w:pPr>
    </w:p>
    <w:p w14:paraId="0024295D" w14:textId="45BFBF53" w:rsidR="00114F1D" w:rsidRPr="00114F1D" w:rsidRDefault="00114F1D" w:rsidP="00114F1D">
      <w:pPr>
        <w:jc w:val="both"/>
        <w:rPr>
          <w:rFonts w:ascii="Arial" w:hAnsi="Arial" w:cs="Arial"/>
          <w:b/>
          <w:bCs/>
        </w:rPr>
      </w:pPr>
      <w:r w:rsidRPr="00114F1D">
        <w:rPr>
          <w:rFonts w:ascii="Arial" w:hAnsi="Arial" w:cs="Arial"/>
          <w:b/>
          <w:bCs/>
        </w:rPr>
        <w:t>How we developed our draft strategy</w:t>
      </w:r>
    </w:p>
    <w:p w14:paraId="0653911B" w14:textId="0B87FA8F" w:rsidR="00114F1D" w:rsidRDefault="00114F1D" w:rsidP="00114F1D">
      <w:pPr>
        <w:jc w:val="both"/>
        <w:rPr>
          <w:rFonts w:ascii="Arial" w:hAnsi="Arial" w:cs="Arial"/>
          <w:bCs/>
        </w:rPr>
      </w:pPr>
      <w:r w:rsidRPr="00114F1D">
        <w:rPr>
          <w:rFonts w:ascii="Arial" w:hAnsi="Arial" w:cs="Arial"/>
          <w:bCs/>
        </w:rPr>
        <w:t>The S</w:t>
      </w:r>
      <w:r>
        <w:rPr>
          <w:rFonts w:ascii="Arial" w:hAnsi="Arial" w:cs="Arial"/>
          <w:bCs/>
        </w:rPr>
        <w:t>tatement</w:t>
      </w:r>
      <w:r w:rsidRPr="00114F1D">
        <w:rPr>
          <w:rFonts w:ascii="Arial" w:hAnsi="Arial" w:cs="Arial"/>
          <w:bCs/>
        </w:rPr>
        <w:t xml:space="preserve"> must be formulated in accordance with, and reflect, the guidance issued by the Gambling Commission and the Government Codes of Practice. The principles essentially inform the processes that we would normally follow in conducting our duties as the Licensing Authority.</w:t>
      </w:r>
    </w:p>
    <w:p w14:paraId="7CA4E673" w14:textId="77777777" w:rsidR="00114F1D" w:rsidRPr="00114F1D" w:rsidRDefault="00114F1D" w:rsidP="00114F1D">
      <w:pPr>
        <w:jc w:val="both"/>
        <w:rPr>
          <w:rFonts w:ascii="Arial" w:hAnsi="Arial" w:cs="Arial"/>
          <w:bCs/>
        </w:rPr>
      </w:pPr>
    </w:p>
    <w:p w14:paraId="27A96EC2" w14:textId="77777777" w:rsidR="00114F1D" w:rsidRDefault="00114F1D" w:rsidP="00114F1D">
      <w:pPr>
        <w:jc w:val="both"/>
        <w:rPr>
          <w:rFonts w:ascii="Arial" w:hAnsi="Arial" w:cs="Arial"/>
          <w:bCs/>
        </w:rPr>
      </w:pPr>
      <w:r w:rsidRPr="00114F1D">
        <w:rPr>
          <w:rFonts w:ascii="Arial" w:hAnsi="Arial" w:cs="Arial"/>
          <w:bCs/>
        </w:rPr>
        <w:t xml:space="preserve">Licensing authorities have powers to licence gambling premises within their area, as well as undertaking functions in relation to lower stake gambling machines and clubs. </w:t>
      </w:r>
    </w:p>
    <w:p w14:paraId="7DDE3780" w14:textId="77777777" w:rsidR="00114F1D" w:rsidRDefault="00114F1D" w:rsidP="00114F1D">
      <w:pPr>
        <w:jc w:val="both"/>
        <w:rPr>
          <w:rFonts w:ascii="Arial" w:hAnsi="Arial" w:cs="Arial"/>
          <w:bCs/>
        </w:rPr>
      </w:pPr>
    </w:p>
    <w:p w14:paraId="4EF274C1" w14:textId="2A0ADD72" w:rsidR="00114F1D" w:rsidRDefault="00114F1D" w:rsidP="00114F1D">
      <w:pPr>
        <w:jc w:val="both"/>
        <w:rPr>
          <w:rFonts w:ascii="Arial" w:hAnsi="Arial" w:cs="Arial"/>
          <w:bCs/>
        </w:rPr>
      </w:pPr>
      <w:r w:rsidRPr="00114F1D">
        <w:rPr>
          <w:rFonts w:ascii="Arial" w:hAnsi="Arial" w:cs="Arial"/>
          <w:bCs/>
        </w:rPr>
        <w:t>The Act also provides for a system of Temporary Use Notices which authorise premises that are not licensed generally for gambling purposes to be used for certain types of gambling for strictly limited periods.</w:t>
      </w:r>
    </w:p>
    <w:p w14:paraId="27959201" w14:textId="77777777" w:rsidR="00114F1D" w:rsidRPr="00114F1D" w:rsidRDefault="00114F1D" w:rsidP="00114F1D">
      <w:pPr>
        <w:jc w:val="both"/>
        <w:rPr>
          <w:rFonts w:ascii="Arial" w:hAnsi="Arial" w:cs="Arial"/>
          <w:bCs/>
        </w:rPr>
      </w:pPr>
    </w:p>
    <w:p w14:paraId="4675DDF3" w14:textId="7093A218" w:rsidR="00114F1D" w:rsidRPr="00114F1D" w:rsidRDefault="00114F1D" w:rsidP="00114F1D">
      <w:pPr>
        <w:jc w:val="both"/>
        <w:rPr>
          <w:rFonts w:ascii="Arial" w:hAnsi="Arial" w:cs="Arial"/>
          <w:bCs/>
        </w:rPr>
      </w:pPr>
      <w:r w:rsidRPr="00114F1D">
        <w:rPr>
          <w:rFonts w:ascii="Arial" w:hAnsi="Arial" w:cs="Arial"/>
          <w:bCs/>
        </w:rPr>
        <w:t>The current S</w:t>
      </w:r>
      <w:r>
        <w:rPr>
          <w:rFonts w:ascii="Arial" w:hAnsi="Arial" w:cs="Arial"/>
          <w:bCs/>
        </w:rPr>
        <w:t>tatement</w:t>
      </w:r>
      <w:r w:rsidRPr="00114F1D">
        <w:rPr>
          <w:rFonts w:ascii="Arial" w:hAnsi="Arial" w:cs="Arial"/>
          <w:bCs/>
        </w:rPr>
        <w:t xml:space="preserve"> was comprehensively reviewed in 2022 to reflect the updated Guidance published by the Gambling Commission. No substantive changes have been made, only the figure for the </w:t>
      </w:r>
      <w:r>
        <w:rPr>
          <w:rFonts w:ascii="Arial" w:hAnsi="Arial" w:cs="Arial"/>
          <w:bCs/>
        </w:rPr>
        <w:t>borough</w:t>
      </w:r>
      <w:r w:rsidRPr="00114F1D">
        <w:rPr>
          <w:rFonts w:ascii="Arial" w:hAnsi="Arial" w:cs="Arial"/>
          <w:bCs/>
        </w:rPr>
        <w:t>'s population data has been amended and definitions around gaming machine classifications have been added to the glossary.</w:t>
      </w:r>
      <w:r>
        <w:rPr>
          <w:rFonts w:ascii="Arial" w:hAnsi="Arial" w:cs="Arial"/>
          <w:bCs/>
        </w:rPr>
        <w:t xml:space="preserve"> You can read the revised </w:t>
      </w:r>
      <w:r w:rsidR="00326301">
        <w:rPr>
          <w:rFonts w:ascii="Arial" w:hAnsi="Arial" w:cs="Arial"/>
          <w:bCs/>
        </w:rPr>
        <w:t xml:space="preserve">draft </w:t>
      </w:r>
      <w:r>
        <w:rPr>
          <w:rFonts w:ascii="Arial" w:hAnsi="Arial" w:cs="Arial"/>
          <w:bCs/>
        </w:rPr>
        <w:t>Statement here</w:t>
      </w:r>
      <w:r w:rsidRPr="00326301">
        <w:rPr>
          <w:rFonts w:ascii="Arial" w:hAnsi="Arial" w:cs="Arial"/>
          <w:b/>
          <w:color w:val="00B050"/>
        </w:rPr>
        <w:t xml:space="preserve">: </w:t>
      </w:r>
      <w:hyperlink r:id="rId7" w:history="1">
        <w:r w:rsidR="00326301" w:rsidRPr="00326301">
          <w:rPr>
            <w:rStyle w:val="Hyperlink"/>
            <w:b/>
            <w:color w:val="00B050"/>
          </w:rPr>
          <w:t>WARD: (bracknell-forest.gov.uk)</w:t>
        </w:r>
      </w:hyperlink>
    </w:p>
    <w:p w14:paraId="32D09210" w14:textId="250B2990" w:rsidR="00114F1D" w:rsidRPr="00114F1D" w:rsidRDefault="00114F1D" w:rsidP="00114F1D">
      <w:pPr>
        <w:jc w:val="both"/>
        <w:rPr>
          <w:rFonts w:ascii="Arial" w:hAnsi="Arial" w:cs="Arial"/>
          <w:bCs/>
        </w:rPr>
      </w:pPr>
    </w:p>
    <w:p w14:paraId="0680410A" w14:textId="77777777" w:rsidR="00114F1D" w:rsidRPr="00114F1D" w:rsidRDefault="00114F1D" w:rsidP="00114F1D">
      <w:pPr>
        <w:jc w:val="both"/>
        <w:rPr>
          <w:rFonts w:ascii="Arial" w:hAnsi="Arial" w:cs="Arial"/>
          <w:b/>
          <w:bCs/>
        </w:rPr>
      </w:pPr>
      <w:r w:rsidRPr="00114F1D">
        <w:rPr>
          <w:rFonts w:ascii="Arial" w:hAnsi="Arial" w:cs="Arial"/>
          <w:b/>
          <w:bCs/>
        </w:rPr>
        <w:t xml:space="preserve">Why we want your </w:t>
      </w:r>
      <w:proofErr w:type="gramStart"/>
      <w:r w:rsidRPr="00114F1D">
        <w:rPr>
          <w:rFonts w:ascii="Arial" w:hAnsi="Arial" w:cs="Arial"/>
          <w:b/>
          <w:bCs/>
        </w:rPr>
        <w:t>views</w:t>
      </w:r>
      <w:proofErr w:type="gramEnd"/>
    </w:p>
    <w:p w14:paraId="014BCC37" w14:textId="6BE50213" w:rsidR="00114F1D" w:rsidRDefault="00114F1D" w:rsidP="00114F1D">
      <w:pPr>
        <w:jc w:val="both"/>
        <w:rPr>
          <w:rFonts w:ascii="Arial" w:hAnsi="Arial" w:cs="Arial"/>
          <w:bCs/>
        </w:rPr>
      </w:pPr>
      <w:r w:rsidRPr="00114F1D">
        <w:rPr>
          <w:rFonts w:ascii="Arial" w:hAnsi="Arial" w:cs="Arial"/>
          <w:bCs/>
        </w:rPr>
        <w:t xml:space="preserve">We'd like your views on our draft </w:t>
      </w:r>
      <w:r>
        <w:rPr>
          <w:rFonts w:ascii="Arial" w:hAnsi="Arial" w:cs="Arial"/>
          <w:bCs/>
        </w:rPr>
        <w:t>Statement</w:t>
      </w:r>
      <w:r w:rsidRPr="00114F1D">
        <w:rPr>
          <w:rFonts w:ascii="Arial" w:hAnsi="Arial" w:cs="Arial"/>
          <w:bCs/>
        </w:rPr>
        <w:t xml:space="preserve">. It's by hearing from local people that we can make the changes needed to ensure our </w:t>
      </w:r>
      <w:r>
        <w:rPr>
          <w:rFonts w:ascii="Arial" w:hAnsi="Arial" w:cs="Arial"/>
          <w:bCs/>
        </w:rPr>
        <w:t xml:space="preserve">document </w:t>
      </w:r>
      <w:r w:rsidRPr="00114F1D">
        <w:rPr>
          <w:rFonts w:ascii="Arial" w:hAnsi="Arial" w:cs="Arial"/>
          <w:bCs/>
        </w:rPr>
        <w:t>is fit for purpose and reflective of the needs in our local area.</w:t>
      </w:r>
    </w:p>
    <w:p w14:paraId="63DB121B" w14:textId="77777777" w:rsidR="00114F1D" w:rsidRPr="00114F1D" w:rsidRDefault="00114F1D" w:rsidP="00114F1D">
      <w:pPr>
        <w:jc w:val="both"/>
        <w:rPr>
          <w:rFonts w:ascii="Arial" w:hAnsi="Arial" w:cs="Arial"/>
          <w:bCs/>
        </w:rPr>
      </w:pPr>
    </w:p>
    <w:p w14:paraId="53E61A91" w14:textId="77777777" w:rsidR="00114F1D" w:rsidRPr="00114F1D" w:rsidRDefault="00114F1D" w:rsidP="00114F1D">
      <w:pPr>
        <w:jc w:val="both"/>
        <w:rPr>
          <w:rFonts w:ascii="Arial" w:hAnsi="Arial" w:cs="Arial"/>
          <w:b/>
          <w:bCs/>
        </w:rPr>
      </w:pPr>
      <w:r w:rsidRPr="00114F1D">
        <w:rPr>
          <w:rFonts w:ascii="Arial" w:hAnsi="Arial" w:cs="Arial"/>
          <w:b/>
          <w:bCs/>
        </w:rPr>
        <w:t>How to take part</w:t>
      </w:r>
    </w:p>
    <w:p w14:paraId="3D961C8C" w14:textId="4BCC5E21" w:rsidR="00114F1D" w:rsidRDefault="00114F1D" w:rsidP="00114F1D">
      <w:pPr>
        <w:jc w:val="both"/>
        <w:rPr>
          <w:rFonts w:ascii="Arial" w:hAnsi="Arial" w:cs="Arial"/>
          <w:bCs/>
        </w:rPr>
      </w:pPr>
      <w:r w:rsidRPr="00114F1D">
        <w:rPr>
          <w:rFonts w:ascii="Arial" w:hAnsi="Arial" w:cs="Arial"/>
          <w:bCs/>
        </w:rPr>
        <w:t xml:space="preserve">If you'd like to comment on the draft </w:t>
      </w:r>
      <w:r>
        <w:rPr>
          <w:rFonts w:ascii="Arial" w:hAnsi="Arial" w:cs="Arial"/>
          <w:bCs/>
        </w:rPr>
        <w:t xml:space="preserve">Statement </w:t>
      </w:r>
      <w:r w:rsidRPr="00114F1D">
        <w:rPr>
          <w:rFonts w:ascii="Arial" w:hAnsi="Arial" w:cs="Arial"/>
          <w:bCs/>
        </w:rPr>
        <w:t>or have any questions, please email pppconsultations@westberks.gov.uk, or write to Mrs Moira Fraser, Public Protection Partnership, Theale Library, Church Street, Theale, Berkshire, RG7 5BZ.</w:t>
      </w:r>
    </w:p>
    <w:p w14:paraId="365265CD" w14:textId="77777777" w:rsidR="00EC00A4" w:rsidRPr="00114F1D" w:rsidRDefault="00EC00A4" w:rsidP="00114F1D">
      <w:pPr>
        <w:jc w:val="both"/>
        <w:rPr>
          <w:rFonts w:ascii="Arial" w:hAnsi="Arial" w:cs="Arial"/>
          <w:bCs/>
        </w:rPr>
      </w:pPr>
    </w:p>
    <w:p w14:paraId="42D1ED11" w14:textId="4FDB18AC" w:rsidR="00114F1D" w:rsidRDefault="00114F1D" w:rsidP="00114F1D">
      <w:pPr>
        <w:jc w:val="both"/>
        <w:rPr>
          <w:rFonts w:ascii="Arial" w:hAnsi="Arial" w:cs="Arial"/>
          <w:b/>
          <w:bCs/>
        </w:rPr>
      </w:pPr>
      <w:r w:rsidRPr="00114F1D">
        <w:rPr>
          <w:rFonts w:ascii="Arial" w:hAnsi="Arial" w:cs="Arial"/>
          <w:b/>
          <w:bCs/>
        </w:rPr>
        <w:t xml:space="preserve">All responses must reach us by Friday, </w:t>
      </w:r>
      <w:r w:rsidR="00EC00A4">
        <w:rPr>
          <w:rFonts w:ascii="Arial" w:hAnsi="Arial" w:cs="Arial"/>
          <w:b/>
          <w:bCs/>
        </w:rPr>
        <w:t xml:space="preserve">06 December </w:t>
      </w:r>
      <w:r w:rsidRPr="00114F1D">
        <w:rPr>
          <w:rFonts w:ascii="Arial" w:hAnsi="Arial" w:cs="Arial"/>
          <w:b/>
          <w:bCs/>
        </w:rPr>
        <w:t>2024 if they are to be considered.</w:t>
      </w:r>
    </w:p>
    <w:p w14:paraId="47512BF1" w14:textId="77777777" w:rsidR="00EC00A4" w:rsidRPr="00114F1D" w:rsidRDefault="00EC00A4" w:rsidP="00114F1D">
      <w:pPr>
        <w:jc w:val="both"/>
        <w:rPr>
          <w:rFonts w:ascii="Arial" w:hAnsi="Arial" w:cs="Arial"/>
          <w:b/>
          <w:bCs/>
        </w:rPr>
      </w:pPr>
    </w:p>
    <w:p w14:paraId="0A808696" w14:textId="0572B45F" w:rsidR="00114F1D" w:rsidRDefault="00114F1D" w:rsidP="00114F1D">
      <w:pPr>
        <w:jc w:val="both"/>
        <w:rPr>
          <w:rFonts w:ascii="Arial" w:hAnsi="Arial" w:cs="Arial"/>
          <w:bCs/>
        </w:rPr>
      </w:pPr>
      <w:r w:rsidRPr="00114F1D">
        <w:rPr>
          <w:rFonts w:ascii="Arial" w:hAnsi="Arial" w:cs="Arial"/>
          <w:bCs/>
        </w:rPr>
        <w:t xml:space="preserve">Any personal information you choose to provide will be kept confidential and used in accordance with our </w:t>
      </w:r>
      <w:hyperlink r:id="rId8" w:history="1">
        <w:r w:rsidRPr="00114F1D">
          <w:rPr>
            <w:rStyle w:val="Hyperlink"/>
            <w:rFonts w:ascii="Arial" w:hAnsi="Arial" w:cs="Arial"/>
            <w:b/>
          </w:rPr>
          <w:t>privacy notice</w:t>
        </w:r>
      </w:hyperlink>
      <w:r w:rsidRPr="00114F1D">
        <w:rPr>
          <w:rFonts w:ascii="Arial" w:hAnsi="Arial" w:cs="Arial"/>
          <w:b/>
        </w:rPr>
        <w:t>.</w:t>
      </w:r>
    </w:p>
    <w:p w14:paraId="100C74EA" w14:textId="77777777" w:rsidR="00EC00A4" w:rsidRPr="00114F1D" w:rsidRDefault="00EC00A4" w:rsidP="00114F1D">
      <w:pPr>
        <w:jc w:val="both"/>
        <w:rPr>
          <w:rFonts w:ascii="Arial" w:hAnsi="Arial" w:cs="Arial"/>
          <w:bCs/>
        </w:rPr>
      </w:pPr>
    </w:p>
    <w:p w14:paraId="7FB7E10F" w14:textId="77777777" w:rsidR="00114F1D" w:rsidRPr="00114F1D" w:rsidRDefault="00114F1D" w:rsidP="00114F1D">
      <w:pPr>
        <w:jc w:val="both"/>
        <w:rPr>
          <w:rFonts w:ascii="Arial" w:hAnsi="Arial" w:cs="Arial"/>
          <w:b/>
          <w:bCs/>
        </w:rPr>
      </w:pPr>
      <w:r w:rsidRPr="00114F1D">
        <w:rPr>
          <w:rFonts w:ascii="Arial" w:hAnsi="Arial" w:cs="Arial"/>
          <w:b/>
          <w:bCs/>
        </w:rPr>
        <w:t xml:space="preserve">What happens </w:t>
      </w:r>
      <w:proofErr w:type="gramStart"/>
      <w:r w:rsidRPr="00114F1D">
        <w:rPr>
          <w:rFonts w:ascii="Arial" w:hAnsi="Arial" w:cs="Arial"/>
          <w:b/>
          <w:bCs/>
        </w:rPr>
        <w:t>next</w:t>
      </w:r>
      <w:proofErr w:type="gramEnd"/>
    </w:p>
    <w:p w14:paraId="236734B7" w14:textId="48072733" w:rsidR="00EC00A4" w:rsidRDefault="00114F1D" w:rsidP="00114F1D">
      <w:pPr>
        <w:jc w:val="both"/>
        <w:rPr>
          <w:rFonts w:ascii="Arial" w:hAnsi="Arial" w:cs="Arial"/>
          <w:bCs/>
        </w:rPr>
      </w:pPr>
      <w:r w:rsidRPr="00114F1D">
        <w:rPr>
          <w:rFonts w:ascii="Arial" w:hAnsi="Arial" w:cs="Arial"/>
          <w:bCs/>
        </w:rPr>
        <w:t xml:space="preserve">Your feedback will be used to inform the final </w:t>
      </w:r>
      <w:r w:rsidR="00EC00A4">
        <w:rPr>
          <w:rFonts w:ascii="Arial" w:hAnsi="Arial" w:cs="Arial"/>
          <w:bCs/>
        </w:rPr>
        <w:t xml:space="preserve">Statement </w:t>
      </w:r>
      <w:r w:rsidRPr="00114F1D">
        <w:rPr>
          <w:rFonts w:ascii="Arial" w:hAnsi="Arial" w:cs="Arial"/>
          <w:bCs/>
        </w:rPr>
        <w:t xml:space="preserve">when it is submitted for consideration by elected members at the Licensing </w:t>
      </w:r>
      <w:r w:rsidR="00EC00A4">
        <w:rPr>
          <w:rFonts w:ascii="Arial" w:hAnsi="Arial" w:cs="Arial"/>
          <w:bCs/>
        </w:rPr>
        <w:t xml:space="preserve">and Safety </w:t>
      </w:r>
      <w:r w:rsidRPr="00114F1D">
        <w:rPr>
          <w:rFonts w:ascii="Arial" w:hAnsi="Arial" w:cs="Arial"/>
          <w:bCs/>
        </w:rPr>
        <w:t>Committee on</w:t>
      </w:r>
      <w:r w:rsidR="00EC00A4">
        <w:rPr>
          <w:rFonts w:ascii="Arial" w:hAnsi="Arial" w:cs="Arial"/>
          <w:bCs/>
        </w:rPr>
        <w:t xml:space="preserve"> 19 December </w:t>
      </w:r>
      <w:r w:rsidRPr="00114F1D">
        <w:rPr>
          <w:rFonts w:ascii="Arial" w:hAnsi="Arial" w:cs="Arial"/>
          <w:bCs/>
        </w:rPr>
        <w:t xml:space="preserve">2024. The Licensing </w:t>
      </w:r>
      <w:r w:rsidR="00EC00A4">
        <w:rPr>
          <w:rFonts w:ascii="Arial" w:hAnsi="Arial" w:cs="Arial"/>
          <w:bCs/>
        </w:rPr>
        <w:t xml:space="preserve">and Safety </w:t>
      </w:r>
      <w:r w:rsidRPr="00114F1D">
        <w:rPr>
          <w:rFonts w:ascii="Arial" w:hAnsi="Arial" w:cs="Arial"/>
          <w:bCs/>
        </w:rPr>
        <w:t>Committee will then recommend that Full Council adopt the</w:t>
      </w:r>
      <w:r w:rsidR="00EC00A4">
        <w:rPr>
          <w:rFonts w:ascii="Arial" w:hAnsi="Arial" w:cs="Arial"/>
          <w:bCs/>
        </w:rPr>
        <w:t xml:space="preserve"> </w:t>
      </w:r>
      <w:r w:rsidR="00326301">
        <w:rPr>
          <w:rFonts w:ascii="Arial" w:hAnsi="Arial" w:cs="Arial"/>
          <w:bCs/>
        </w:rPr>
        <w:t>Statement,</w:t>
      </w:r>
      <w:r w:rsidRPr="00114F1D">
        <w:rPr>
          <w:rFonts w:ascii="Arial" w:hAnsi="Arial" w:cs="Arial"/>
          <w:bCs/>
        </w:rPr>
        <w:t xml:space="preserve"> with or without revisions, at their meeting on</w:t>
      </w:r>
      <w:r w:rsidR="00EC00A4">
        <w:rPr>
          <w:rFonts w:ascii="Arial" w:hAnsi="Arial" w:cs="Arial"/>
          <w:bCs/>
        </w:rPr>
        <w:t xml:space="preserve"> 08 January 2025.</w:t>
      </w:r>
    </w:p>
    <w:p w14:paraId="4C4201F9" w14:textId="3B960874" w:rsidR="00114F1D" w:rsidRPr="00114F1D" w:rsidRDefault="00114F1D" w:rsidP="00114F1D">
      <w:pPr>
        <w:jc w:val="both"/>
        <w:rPr>
          <w:rFonts w:ascii="Arial" w:hAnsi="Arial" w:cs="Arial"/>
          <w:bCs/>
        </w:rPr>
      </w:pPr>
    </w:p>
    <w:p w14:paraId="0E197684" w14:textId="1C72289C" w:rsidR="00114F1D" w:rsidRPr="0095464D" w:rsidRDefault="00114F1D" w:rsidP="00114F1D">
      <w:pPr>
        <w:jc w:val="both"/>
        <w:rPr>
          <w:rFonts w:ascii="Arial" w:hAnsi="Arial" w:cs="Arial"/>
          <w:bCs/>
        </w:rPr>
      </w:pPr>
      <w:r w:rsidRPr="00114F1D">
        <w:rPr>
          <w:rFonts w:ascii="Arial" w:hAnsi="Arial" w:cs="Arial"/>
          <w:bCs/>
        </w:rPr>
        <w:t xml:space="preserve">The revised </w:t>
      </w:r>
      <w:r w:rsidR="00EC00A4">
        <w:rPr>
          <w:rFonts w:ascii="Arial" w:hAnsi="Arial" w:cs="Arial"/>
          <w:bCs/>
        </w:rPr>
        <w:t>Statement</w:t>
      </w:r>
      <w:r w:rsidRPr="00114F1D">
        <w:rPr>
          <w:rFonts w:ascii="Arial" w:hAnsi="Arial" w:cs="Arial"/>
          <w:bCs/>
        </w:rPr>
        <w:t xml:space="preserve"> must be published before Friday, 31 January 2025 and will be available </w:t>
      </w:r>
      <w:r w:rsidR="00326301">
        <w:rPr>
          <w:rFonts w:ascii="Arial" w:hAnsi="Arial" w:cs="Arial"/>
          <w:bCs/>
        </w:rPr>
        <w:t>on the PPP website.</w:t>
      </w:r>
    </w:p>
    <w:p w14:paraId="52286817" w14:textId="41629CB3" w:rsidR="008453CE" w:rsidRPr="00763BDC" w:rsidRDefault="006F01C1">
      <w:pPr>
        <w:spacing w:before="100" w:beforeAutospacing="1" w:after="100" w:afterAutospacing="1"/>
        <w:jc w:val="both"/>
        <w:rPr>
          <w:rFonts w:ascii="Arial" w:hAnsi="Arial" w:cs="Arial"/>
          <w:b/>
        </w:rPr>
      </w:pPr>
      <w:r>
        <w:rPr>
          <w:noProof/>
          <w:lang w:eastAsia="en-GB"/>
        </w:rPr>
        <w:drawing>
          <wp:inline distT="0" distB="0" distL="0" distR="0" wp14:anchorId="7F225365" wp14:editId="3477F7A5">
            <wp:extent cx="5731510" cy="828040"/>
            <wp:effectExtent l="0" t="0" r="2540" b="0"/>
            <wp:docPr id="1" name="Picture 1" descr="cid:image005.jpg@01D82277.8D7AD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82277.8D7AD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828040"/>
                    </a:xfrm>
                    <a:prstGeom prst="rect">
                      <a:avLst/>
                    </a:prstGeom>
                    <a:noFill/>
                    <a:ln>
                      <a:noFill/>
                    </a:ln>
                  </pic:spPr>
                </pic:pic>
              </a:graphicData>
            </a:graphic>
          </wp:inline>
        </w:drawing>
      </w:r>
    </w:p>
    <w:sectPr w:rsidR="008453CE" w:rsidRPr="00763BDC" w:rsidSect="006F01C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9E8"/>
    <w:multiLevelType w:val="hybridMultilevel"/>
    <w:tmpl w:val="E6BC4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0450E"/>
    <w:multiLevelType w:val="multilevel"/>
    <w:tmpl w:val="B6B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A5BC3"/>
    <w:multiLevelType w:val="hybridMultilevel"/>
    <w:tmpl w:val="4D0E648E"/>
    <w:lvl w:ilvl="0" w:tplc="2F1498DA">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61255"/>
    <w:multiLevelType w:val="multilevel"/>
    <w:tmpl w:val="E754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A06C4C"/>
    <w:multiLevelType w:val="multilevel"/>
    <w:tmpl w:val="E754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85E4B"/>
    <w:multiLevelType w:val="hybridMultilevel"/>
    <w:tmpl w:val="7C425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F715EC4"/>
    <w:multiLevelType w:val="multilevel"/>
    <w:tmpl w:val="E754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028056">
    <w:abstractNumId w:val="1"/>
  </w:num>
  <w:num w:numId="2" w16cid:durableId="2083719886">
    <w:abstractNumId w:val="3"/>
  </w:num>
  <w:num w:numId="3" w16cid:durableId="2037851289">
    <w:abstractNumId w:val="5"/>
  </w:num>
  <w:num w:numId="4" w16cid:durableId="608856338">
    <w:abstractNumId w:val="6"/>
  </w:num>
  <w:num w:numId="5" w16cid:durableId="1036662148">
    <w:abstractNumId w:val="4"/>
  </w:num>
  <w:num w:numId="6" w16cid:durableId="353727385">
    <w:abstractNumId w:val="0"/>
  </w:num>
  <w:num w:numId="7" w16cid:durableId="1749689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88"/>
    <w:rsid w:val="000166A4"/>
    <w:rsid w:val="00081649"/>
    <w:rsid w:val="00114F1D"/>
    <w:rsid w:val="00166C2B"/>
    <w:rsid w:val="00175231"/>
    <w:rsid w:val="00244458"/>
    <w:rsid w:val="00255D06"/>
    <w:rsid w:val="002B5D8C"/>
    <w:rsid w:val="002E6BE0"/>
    <w:rsid w:val="00326301"/>
    <w:rsid w:val="00496883"/>
    <w:rsid w:val="00523910"/>
    <w:rsid w:val="006F01C1"/>
    <w:rsid w:val="0071700B"/>
    <w:rsid w:val="00763BDC"/>
    <w:rsid w:val="007A3AE6"/>
    <w:rsid w:val="007D0DED"/>
    <w:rsid w:val="008453CE"/>
    <w:rsid w:val="00880F88"/>
    <w:rsid w:val="0095464D"/>
    <w:rsid w:val="009C0572"/>
    <w:rsid w:val="009E58EB"/>
    <w:rsid w:val="00AD6A56"/>
    <w:rsid w:val="00C90C0D"/>
    <w:rsid w:val="00E976A0"/>
    <w:rsid w:val="00EC00A4"/>
    <w:rsid w:val="00EC5219"/>
    <w:rsid w:val="00F13DF2"/>
    <w:rsid w:val="00FB22E6"/>
    <w:rsid w:val="00FE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2527"/>
  <w15:chartTrackingRefBased/>
  <w15:docId w15:val="{594AD153-DDC3-49BF-883F-DFF6FC0C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88"/>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character" w:styleId="CommentReference">
    <w:name w:val="annotation reference"/>
    <w:basedOn w:val="DefaultParagraphFont"/>
    <w:uiPriority w:val="99"/>
    <w:semiHidden/>
    <w:unhideWhenUsed/>
    <w:rsid w:val="00880F88"/>
    <w:rPr>
      <w:sz w:val="16"/>
      <w:szCs w:val="16"/>
    </w:rPr>
  </w:style>
  <w:style w:type="paragraph" w:styleId="CommentText">
    <w:name w:val="annotation text"/>
    <w:basedOn w:val="Normal"/>
    <w:link w:val="CommentTextChar"/>
    <w:uiPriority w:val="99"/>
    <w:semiHidden/>
    <w:unhideWhenUsed/>
    <w:rsid w:val="00880F88"/>
    <w:rPr>
      <w:sz w:val="20"/>
      <w:szCs w:val="20"/>
    </w:rPr>
  </w:style>
  <w:style w:type="character" w:customStyle="1" w:styleId="CommentTextChar">
    <w:name w:val="Comment Text Char"/>
    <w:basedOn w:val="DefaultParagraphFont"/>
    <w:link w:val="CommentText"/>
    <w:uiPriority w:val="99"/>
    <w:semiHidden/>
    <w:rsid w:val="00880F88"/>
    <w:rPr>
      <w:sz w:val="20"/>
      <w:szCs w:val="20"/>
    </w:rPr>
  </w:style>
  <w:style w:type="paragraph" w:styleId="CommentSubject">
    <w:name w:val="annotation subject"/>
    <w:basedOn w:val="CommentText"/>
    <w:next w:val="CommentText"/>
    <w:link w:val="CommentSubjectChar"/>
    <w:uiPriority w:val="99"/>
    <w:semiHidden/>
    <w:unhideWhenUsed/>
    <w:rsid w:val="00880F88"/>
    <w:rPr>
      <w:b/>
      <w:bCs/>
    </w:rPr>
  </w:style>
  <w:style w:type="character" w:customStyle="1" w:styleId="CommentSubjectChar">
    <w:name w:val="Comment Subject Char"/>
    <w:basedOn w:val="CommentTextChar"/>
    <w:link w:val="CommentSubject"/>
    <w:uiPriority w:val="99"/>
    <w:semiHidden/>
    <w:rsid w:val="00880F88"/>
    <w:rPr>
      <w:b/>
      <w:bCs/>
      <w:sz w:val="20"/>
      <w:szCs w:val="20"/>
    </w:rPr>
  </w:style>
  <w:style w:type="paragraph" w:styleId="BalloonText">
    <w:name w:val="Balloon Text"/>
    <w:basedOn w:val="Normal"/>
    <w:link w:val="BalloonTextChar"/>
    <w:uiPriority w:val="99"/>
    <w:semiHidden/>
    <w:unhideWhenUsed/>
    <w:rsid w:val="00880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F88"/>
    <w:rPr>
      <w:rFonts w:ascii="Segoe UI" w:hAnsi="Segoe UI" w:cs="Segoe UI"/>
      <w:sz w:val="18"/>
      <w:szCs w:val="18"/>
    </w:rPr>
  </w:style>
  <w:style w:type="character" w:styleId="Hyperlink">
    <w:name w:val="Hyperlink"/>
    <w:basedOn w:val="DefaultParagraphFont"/>
    <w:uiPriority w:val="99"/>
    <w:unhideWhenUsed/>
    <w:rsid w:val="00081649"/>
    <w:rPr>
      <w:color w:val="0563C1" w:themeColor="hyperlink"/>
      <w:u w:val="single"/>
    </w:rPr>
  </w:style>
  <w:style w:type="character" w:styleId="FollowedHyperlink">
    <w:name w:val="FollowedHyperlink"/>
    <w:basedOn w:val="DefaultParagraphFont"/>
    <w:uiPriority w:val="99"/>
    <w:semiHidden/>
    <w:unhideWhenUsed/>
    <w:rsid w:val="000166A4"/>
    <w:rPr>
      <w:color w:val="954F72" w:themeColor="followedHyperlink"/>
      <w:u w:val="single"/>
    </w:rPr>
  </w:style>
  <w:style w:type="character" w:styleId="UnresolvedMention">
    <w:name w:val="Unresolved Mention"/>
    <w:basedOn w:val="DefaultParagraphFont"/>
    <w:uiPriority w:val="99"/>
    <w:semiHidden/>
    <w:unhideWhenUsed/>
    <w:rsid w:val="0095464D"/>
    <w:rPr>
      <w:color w:val="605E5C"/>
      <w:shd w:val="clear" w:color="auto" w:fill="E1DFDD"/>
    </w:rPr>
  </w:style>
  <w:style w:type="paragraph" w:styleId="NormalWeb">
    <w:name w:val="Normal (Web)"/>
    <w:basedOn w:val="Normal"/>
    <w:uiPriority w:val="99"/>
    <w:semiHidden/>
    <w:unhideWhenUsed/>
    <w:rsid w:val="006F01C1"/>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78150">
      <w:bodyDiv w:val="1"/>
      <w:marLeft w:val="0"/>
      <w:marRight w:val="0"/>
      <w:marTop w:val="0"/>
      <w:marBottom w:val="0"/>
      <w:divBdr>
        <w:top w:val="none" w:sz="0" w:space="0" w:color="auto"/>
        <w:left w:val="none" w:sz="0" w:space="0" w:color="auto"/>
        <w:bottom w:val="none" w:sz="0" w:space="0" w:color="auto"/>
        <w:right w:val="none" w:sz="0" w:space="0" w:color="auto"/>
      </w:divBdr>
    </w:div>
    <w:div w:id="561258588">
      <w:bodyDiv w:val="1"/>
      <w:marLeft w:val="0"/>
      <w:marRight w:val="0"/>
      <w:marTop w:val="0"/>
      <w:marBottom w:val="0"/>
      <w:divBdr>
        <w:top w:val="none" w:sz="0" w:space="0" w:color="auto"/>
        <w:left w:val="none" w:sz="0" w:space="0" w:color="auto"/>
        <w:bottom w:val="none" w:sz="0" w:space="0" w:color="auto"/>
        <w:right w:val="none" w:sz="0" w:space="0" w:color="auto"/>
      </w:divBdr>
    </w:div>
    <w:div w:id="15894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publicprotectionpartnership.org.uk%2Fmedia%2F2809%2Fprivacy-notice-consultation-and-engagement.docx&amp;wdOrigin=BROWSELINK" TargetMode="External"/><Relationship Id="rId3" Type="http://schemas.openxmlformats.org/officeDocument/2006/relationships/settings" Target="settings.xml"/><Relationship Id="rId7" Type="http://schemas.openxmlformats.org/officeDocument/2006/relationships/hyperlink" Target="https://democratic.bracknell-forest.gov.uk/documents/s202482/1.%20SoGP%20Bracknell%20Forest%20Appendix%20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protectionpartnership.org.uk/media/2420/bracknell-forest-statement-of-gambling-principles-january-2022.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5.jpg@01D82277.8D7AD68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Fraser</dc:creator>
  <cp:keywords/>
  <dc:description/>
  <cp:lastModifiedBy>Moira Fraser</cp:lastModifiedBy>
  <cp:revision>2</cp:revision>
  <cp:lastPrinted>2021-07-02T10:48:00Z</cp:lastPrinted>
  <dcterms:created xsi:type="dcterms:W3CDTF">2024-10-25T07:15:00Z</dcterms:created>
  <dcterms:modified xsi:type="dcterms:W3CDTF">2024-10-25T07:15:00Z</dcterms:modified>
</cp:coreProperties>
</file>