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7E358" w14:textId="1B9977D2" w:rsidR="001B5062" w:rsidRDefault="001B5062" w:rsidP="001B5062">
      <w:pPr>
        <w:jc w:val="right"/>
        <w:rPr>
          <w:b/>
        </w:rPr>
      </w:pPr>
      <w:r w:rsidRPr="007F1DF1">
        <w:rPr>
          <w:rFonts w:ascii="Calibri" w:eastAsia="Calibri" w:hAnsi="Calibri" w:cs="Calibri"/>
          <w:noProof/>
          <w:sz w:val="22"/>
          <w:szCs w:val="22"/>
          <w:lang w:eastAsia="en-GB"/>
        </w:rPr>
        <w:drawing>
          <wp:inline distT="0" distB="0" distL="0" distR="0" wp14:anchorId="699671E4" wp14:editId="4B9C1BAB">
            <wp:extent cx="2609377" cy="679450"/>
            <wp:effectExtent l="0" t="0" r="635" b="6350"/>
            <wp:docPr id="2" name="Picture 3" descr="cid:image003.png@01D81838.559E4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81838.559E42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25831" cy="683734"/>
                    </a:xfrm>
                    <a:prstGeom prst="rect">
                      <a:avLst/>
                    </a:prstGeom>
                    <a:noFill/>
                    <a:ln>
                      <a:noFill/>
                    </a:ln>
                  </pic:spPr>
                </pic:pic>
              </a:graphicData>
            </a:graphic>
          </wp:inline>
        </w:drawing>
      </w:r>
    </w:p>
    <w:p w14:paraId="0068C638" w14:textId="00781B31" w:rsidR="001538AD" w:rsidRPr="00F14E3A" w:rsidRDefault="00AE2CE2" w:rsidP="00F14E3A">
      <w:pPr>
        <w:jc w:val="center"/>
        <w:rPr>
          <w:b/>
        </w:rPr>
      </w:pPr>
      <w:r>
        <w:rPr>
          <w:b/>
        </w:rPr>
        <w:t>Bracknell Forest R</w:t>
      </w:r>
      <w:r w:rsidR="00233FB5" w:rsidRPr="00F14E3A">
        <w:rPr>
          <w:b/>
        </w:rPr>
        <w:t>esponses to the Statement of Gambling Principles Consultation</w:t>
      </w:r>
    </w:p>
    <w:p w14:paraId="4E890345" w14:textId="77777777" w:rsidR="00F14E3A" w:rsidRPr="00F14E3A" w:rsidRDefault="00F14E3A">
      <w:pPr>
        <w:rPr>
          <w:b/>
        </w:rPr>
      </w:pPr>
    </w:p>
    <w:p w14:paraId="794F5F5B" w14:textId="77777777" w:rsidR="00F14E3A" w:rsidRPr="00F14E3A" w:rsidRDefault="00F14E3A" w:rsidP="00F14E3A">
      <w:pPr>
        <w:pStyle w:val="NormalWeb"/>
        <w:shd w:val="clear" w:color="auto" w:fill="FFFFFF"/>
        <w:spacing w:before="0" w:beforeAutospacing="0" w:after="150" w:afterAutospacing="0"/>
        <w:jc w:val="both"/>
        <w:rPr>
          <w:rFonts w:ascii="Arial" w:hAnsi="Arial" w:cs="Arial"/>
          <w:b/>
          <w:color w:val="333333"/>
        </w:rPr>
      </w:pPr>
      <w:r w:rsidRPr="00F14E3A">
        <w:rPr>
          <w:rFonts w:ascii="Arial" w:hAnsi="Arial" w:cs="Arial"/>
          <w:b/>
          <w:color w:val="333333"/>
        </w:rPr>
        <w:t>Background</w:t>
      </w:r>
    </w:p>
    <w:p w14:paraId="750A26DB" w14:textId="77777777" w:rsidR="00F14E3A" w:rsidRDefault="00AE2CE2" w:rsidP="00F14E3A">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xml:space="preserve">Bracknell Forest </w:t>
      </w:r>
      <w:r w:rsidR="00F14E3A" w:rsidRPr="00F14E3A">
        <w:rPr>
          <w:rFonts w:ascii="Arial" w:hAnsi="Arial" w:cs="Arial"/>
          <w:color w:val="333333"/>
        </w:rPr>
        <w:t xml:space="preserve">Council, along with all other licensing authorities, is required to prepare, adopt and publish a "Statement of Principles" (SoP) setting out the </w:t>
      </w:r>
      <w:r>
        <w:rPr>
          <w:rFonts w:ascii="Arial" w:hAnsi="Arial" w:cs="Arial"/>
          <w:color w:val="333333"/>
        </w:rPr>
        <w:t>C</w:t>
      </w:r>
      <w:r w:rsidR="00F14E3A" w:rsidRPr="00F14E3A">
        <w:rPr>
          <w:rFonts w:ascii="Arial" w:hAnsi="Arial" w:cs="Arial"/>
          <w:color w:val="333333"/>
        </w:rPr>
        <w:t>ouncil's approach to applications under the </w:t>
      </w:r>
      <w:hyperlink r:id="rId7" w:tooltip="Gambling Act 2005 - section 349" w:history="1">
        <w:r w:rsidR="00F14E3A" w:rsidRPr="00F14E3A">
          <w:rPr>
            <w:rStyle w:val="Hyperlink"/>
            <w:rFonts w:ascii="Arial" w:eastAsiaTheme="majorEastAsia" w:hAnsi="Arial" w:cs="Arial"/>
            <w:color w:val="006633"/>
          </w:rPr>
          <w:t>Gambling Act 2005</w:t>
        </w:r>
      </w:hyperlink>
      <w:r w:rsidR="00F14E3A" w:rsidRPr="00F14E3A">
        <w:rPr>
          <w:rFonts w:ascii="Arial" w:hAnsi="Arial" w:cs="Arial"/>
          <w:color w:val="333333"/>
        </w:rPr>
        <w:t> (hereafter known as The Act) and the information it expects applicants to provide.</w:t>
      </w:r>
    </w:p>
    <w:p w14:paraId="20F26AB1" w14:textId="77777777" w:rsidR="009544E2" w:rsidRPr="00FE1DA2" w:rsidRDefault="009544E2" w:rsidP="009544E2">
      <w:pPr>
        <w:pStyle w:val="BodyText"/>
      </w:pPr>
      <w:r w:rsidRPr="00FE1DA2">
        <w:t>The</w:t>
      </w:r>
      <w:r w:rsidRPr="00FE1DA2">
        <w:rPr>
          <w:spacing w:val="-4"/>
        </w:rPr>
        <w:t xml:space="preserve"> </w:t>
      </w:r>
      <w:r w:rsidRPr="00FE1DA2">
        <w:t>SoGP</w:t>
      </w:r>
      <w:r w:rsidRPr="00FE1DA2">
        <w:rPr>
          <w:spacing w:val="-2"/>
        </w:rPr>
        <w:t xml:space="preserve"> </w:t>
      </w:r>
      <w:r w:rsidRPr="00FE1DA2">
        <w:t>seeks</w:t>
      </w:r>
      <w:r w:rsidRPr="00FE1DA2">
        <w:rPr>
          <w:spacing w:val="-3"/>
        </w:rPr>
        <w:t xml:space="preserve"> </w:t>
      </w:r>
      <w:r w:rsidRPr="00FE1DA2">
        <w:t>to</w:t>
      </w:r>
      <w:r w:rsidRPr="00FE1DA2">
        <w:rPr>
          <w:spacing w:val="-2"/>
        </w:rPr>
        <w:t xml:space="preserve"> </w:t>
      </w:r>
      <w:r w:rsidRPr="00FE1DA2">
        <w:t>promote</w:t>
      </w:r>
      <w:r w:rsidRPr="00FE1DA2">
        <w:rPr>
          <w:spacing w:val="-2"/>
        </w:rPr>
        <w:t xml:space="preserve"> </w:t>
      </w:r>
      <w:r w:rsidRPr="00FE1DA2">
        <w:t>the</w:t>
      </w:r>
      <w:r w:rsidRPr="00FE1DA2">
        <w:rPr>
          <w:spacing w:val="-3"/>
        </w:rPr>
        <w:t xml:space="preserve"> </w:t>
      </w:r>
      <w:r w:rsidRPr="00FE1DA2">
        <w:t>guidance</w:t>
      </w:r>
      <w:r w:rsidRPr="00FE1DA2">
        <w:rPr>
          <w:spacing w:val="-2"/>
        </w:rPr>
        <w:t xml:space="preserve"> </w:t>
      </w:r>
      <w:r w:rsidRPr="00FE1DA2">
        <w:t>set</w:t>
      </w:r>
      <w:r w:rsidRPr="00FE1DA2">
        <w:rPr>
          <w:spacing w:val="-2"/>
        </w:rPr>
        <w:t xml:space="preserve"> </w:t>
      </w:r>
      <w:r w:rsidRPr="00FE1DA2">
        <w:t>out</w:t>
      </w:r>
      <w:r w:rsidRPr="00FE1DA2">
        <w:rPr>
          <w:spacing w:val="-5"/>
        </w:rPr>
        <w:t xml:space="preserve"> </w:t>
      </w:r>
      <w:r w:rsidRPr="00FE1DA2">
        <w:t>by</w:t>
      </w:r>
      <w:r w:rsidRPr="00FE1DA2">
        <w:rPr>
          <w:spacing w:val="-2"/>
        </w:rPr>
        <w:t xml:space="preserve"> </w:t>
      </w:r>
      <w:r w:rsidRPr="00FE1DA2">
        <w:t>the</w:t>
      </w:r>
      <w:r w:rsidRPr="00FE1DA2">
        <w:rPr>
          <w:spacing w:val="-4"/>
        </w:rPr>
        <w:t xml:space="preserve"> </w:t>
      </w:r>
      <w:r w:rsidRPr="00FE1DA2">
        <w:t>Gambling</w:t>
      </w:r>
      <w:r w:rsidRPr="00FE1DA2">
        <w:rPr>
          <w:spacing w:val="-7"/>
        </w:rPr>
        <w:t xml:space="preserve"> </w:t>
      </w:r>
      <w:r w:rsidRPr="00FE1DA2">
        <w:t>Commission</w:t>
      </w:r>
      <w:r w:rsidRPr="00FE1DA2">
        <w:rPr>
          <w:spacing w:val="-2"/>
        </w:rPr>
        <w:t xml:space="preserve"> </w:t>
      </w:r>
      <w:r w:rsidRPr="00FE1DA2">
        <w:t>and</w:t>
      </w:r>
      <w:r w:rsidRPr="00FE1DA2">
        <w:rPr>
          <w:spacing w:val="-3"/>
        </w:rPr>
        <w:t xml:space="preserve"> </w:t>
      </w:r>
      <w:r w:rsidRPr="00FE1DA2">
        <w:t>the</w:t>
      </w:r>
      <w:r w:rsidRPr="00FE1DA2">
        <w:rPr>
          <w:spacing w:val="-4"/>
        </w:rPr>
        <w:t xml:space="preserve"> </w:t>
      </w:r>
      <w:r w:rsidRPr="00FE1DA2">
        <w:t>three</w:t>
      </w:r>
      <w:r w:rsidRPr="00FE1DA2">
        <w:rPr>
          <w:spacing w:val="-2"/>
        </w:rPr>
        <w:t xml:space="preserve"> </w:t>
      </w:r>
      <w:r w:rsidRPr="00FE1DA2">
        <w:t>licensing</w:t>
      </w:r>
      <w:r w:rsidRPr="00FE1DA2">
        <w:rPr>
          <w:spacing w:val="-2"/>
        </w:rPr>
        <w:t xml:space="preserve"> </w:t>
      </w:r>
      <w:r w:rsidRPr="00FE1DA2">
        <w:t>objectives</w:t>
      </w:r>
      <w:r w:rsidRPr="00FE1DA2">
        <w:rPr>
          <w:spacing w:val="-2"/>
        </w:rPr>
        <w:t xml:space="preserve"> </w:t>
      </w:r>
      <w:r w:rsidRPr="00FE1DA2">
        <w:rPr>
          <w:spacing w:val="-5"/>
        </w:rPr>
        <w:t>of:</w:t>
      </w:r>
    </w:p>
    <w:p w14:paraId="0EF3CA64" w14:textId="3E1F7C5C" w:rsidR="009544E2" w:rsidRPr="00FE1DA2" w:rsidRDefault="009544E2" w:rsidP="009544E2">
      <w:pPr>
        <w:pStyle w:val="ListParagraph"/>
        <w:widowControl w:val="0"/>
        <w:numPr>
          <w:ilvl w:val="0"/>
          <w:numId w:val="2"/>
        </w:numPr>
        <w:tabs>
          <w:tab w:val="left" w:pos="1199"/>
          <w:tab w:val="left" w:pos="1200"/>
        </w:tabs>
        <w:autoSpaceDE w:val="0"/>
        <w:autoSpaceDN w:val="0"/>
        <w:spacing w:before="1"/>
        <w:ind w:left="0" w:right="106" w:firstLine="0"/>
        <w:contextualSpacing w:val="0"/>
      </w:pPr>
      <w:r w:rsidRPr="00FE1DA2">
        <w:t xml:space="preserve">preventing gambling from being a source of crime or disorder, being </w:t>
      </w:r>
      <w:r>
        <w:tab/>
      </w:r>
      <w:r w:rsidRPr="00FE1DA2">
        <w:t xml:space="preserve">associated with crime or disorder or being used to support </w:t>
      </w:r>
      <w:r w:rsidRPr="00FE1DA2">
        <w:rPr>
          <w:spacing w:val="-2"/>
        </w:rPr>
        <w:t>crime</w:t>
      </w:r>
    </w:p>
    <w:p w14:paraId="39A819BF" w14:textId="77777777" w:rsidR="009544E2" w:rsidRPr="00FE1DA2" w:rsidRDefault="009544E2" w:rsidP="009544E2">
      <w:pPr>
        <w:pStyle w:val="ListParagraph"/>
        <w:widowControl w:val="0"/>
        <w:numPr>
          <w:ilvl w:val="0"/>
          <w:numId w:val="2"/>
        </w:numPr>
        <w:tabs>
          <w:tab w:val="left" w:pos="1199"/>
          <w:tab w:val="left" w:pos="1200"/>
        </w:tabs>
        <w:autoSpaceDE w:val="0"/>
        <w:autoSpaceDN w:val="0"/>
        <w:spacing w:line="292" w:lineRule="exact"/>
        <w:ind w:left="0" w:firstLine="0"/>
        <w:contextualSpacing w:val="0"/>
      </w:pPr>
      <w:r w:rsidRPr="00FE1DA2">
        <w:t>ensuring</w:t>
      </w:r>
      <w:r w:rsidRPr="00FE1DA2">
        <w:rPr>
          <w:spacing w:val="-5"/>
        </w:rPr>
        <w:t xml:space="preserve"> </w:t>
      </w:r>
      <w:r w:rsidRPr="00FE1DA2">
        <w:t>that</w:t>
      </w:r>
      <w:r w:rsidRPr="00FE1DA2">
        <w:rPr>
          <w:spacing w:val="-2"/>
        </w:rPr>
        <w:t xml:space="preserve"> </w:t>
      </w:r>
      <w:r w:rsidRPr="00FE1DA2">
        <w:t>gambling</w:t>
      </w:r>
      <w:r w:rsidRPr="00FE1DA2">
        <w:rPr>
          <w:spacing w:val="-3"/>
        </w:rPr>
        <w:t xml:space="preserve"> </w:t>
      </w:r>
      <w:r w:rsidRPr="00FE1DA2">
        <w:t>is</w:t>
      </w:r>
      <w:r w:rsidRPr="00FE1DA2">
        <w:rPr>
          <w:spacing w:val="-2"/>
        </w:rPr>
        <w:t xml:space="preserve"> </w:t>
      </w:r>
      <w:r w:rsidRPr="00FE1DA2">
        <w:t>conducted</w:t>
      </w:r>
      <w:r w:rsidRPr="00FE1DA2">
        <w:rPr>
          <w:spacing w:val="-2"/>
        </w:rPr>
        <w:t xml:space="preserve"> </w:t>
      </w:r>
      <w:r w:rsidRPr="00FE1DA2">
        <w:t>in</w:t>
      </w:r>
      <w:r w:rsidRPr="00FE1DA2">
        <w:rPr>
          <w:spacing w:val="-3"/>
        </w:rPr>
        <w:t xml:space="preserve"> </w:t>
      </w:r>
      <w:r w:rsidRPr="00FE1DA2">
        <w:t>a</w:t>
      </w:r>
      <w:r w:rsidRPr="00FE1DA2">
        <w:rPr>
          <w:spacing w:val="-1"/>
        </w:rPr>
        <w:t xml:space="preserve"> </w:t>
      </w:r>
      <w:r w:rsidRPr="00FE1DA2">
        <w:t>fair</w:t>
      </w:r>
      <w:r w:rsidRPr="00FE1DA2">
        <w:rPr>
          <w:spacing w:val="-4"/>
        </w:rPr>
        <w:t xml:space="preserve"> </w:t>
      </w:r>
      <w:r w:rsidRPr="00FE1DA2">
        <w:t>and</w:t>
      </w:r>
      <w:r w:rsidRPr="00FE1DA2">
        <w:rPr>
          <w:spacing w:val="-3"/>
        </w:rPr>
        <w:t xml:space="preserve"> </w:t>
      </w:r>
      <w:r w:rsidRPr="00FE1DA2">
        <w:t>open</w:t>
      </w:r>
      <w:r w:rsidRPr="00FE1DA2">
        <w:rPr>
          <w:spacing w:val="-1"/>
        </w:rPr>
        <w:t xml:space="preserve"> </w:t>
      </w:r>
      <w:r w:rsidRPr="00FE1DA2">
        <w:rPr>
          <w:spacing w:val="-5"/>
        </w:rPr>
        <w:t>way</w:t>
      </w:r>
    </w:p>
    <w:p w14:paraId="00F08FCE" w14:textId="58F2B3E8" w:rsidR="009544E2" w:rsidRPr="00FE1DA2" w:rsidRDefault="009544E2" w:rsidP="009544E2">
      <w:pPr>
        <w:pStyle w:val="ListParagraph"/>
        <w:widowControl w:val="0"/>
        <w:numPr>
          <w:ilvl w:val="0"/>
          <w:numId w:val="2"/>
        </w:numPr>
        <w:tabs>
          <w:tab w:val="left" w:pos="1199"/>
          <w:tab w:val="left" w:pos="1200"/>
        </w:tabs>
        <w:autoSpaceDE w:val="0"/>
        <w:autoSpaceDN w:val="0"/>
        <w:spacing w:line="293" w:lineRule="exact"/>
        <w:ind w:left="0" w:firstLine="0"/>
        <w:contextualSpacing w:val="0"/>
      </w:pPr>
      <w:r w:rsidRPr="00FE1DA2">
        <w:t>protecting</w:t>
      </w:r>
      <w:r w:rsidRPr="00FE1DA2">
        <w:rPr>
          <w:spacing w:val="-4"/>
        </w:rPr>
        <w:t xml:space="preserve"> </w:t>
      </w:r>
      <w:r w:rsidRPr="00FE1DA2">
        <w:t>children</w:t>
      </w:r>
      <w:r w:rsidRPr="00FE1DA2">
        <w:rPr>
          <w:spacing w:val="-2"/>
        </w:rPr>
        <w:t xml:space="preserve"> </w:t>
      </w:r>
      <w:r w:rsidRPr="00FE1DA2">
        <w:t>and</w:t>
      </w:r>
      <w:r w:rsidRPr="00FE1DA2">
        <w:rPr>
          <w:spacing w:val="-4"/>
        </w:rPr>
        <w:t xml:space="preserve"> </w:t>
      </w:r>
      <w:r w:rsidRPr="00FE1DA2">
        <w:t>other</w:t>
      </w:r>
      <w:r w:rsidRPr="00FE1DA2">
        <w:rPr>
          <w:spacing w:val="-4"/>
        </w:rPr>
        <w:t xml:space="preserve"> </w:t>
      </w:r>
      <w:r w:rsidRPr="00FE1DA2">
        <w:t>vulnerable</w:t>
      </w:r>
      <w:r w:rsidRPr="00FE1DA2">
        <w:rPr>
          <w:spacing w:val="-4"/>
        </w:rPr>
        <w:t xml:space="preserve"> </w:t>
      </w:r>
      <w:r w:rsidRPr="00FE1DA2">
        <w:t>persons</w:t>
      </w:r>
      <w:r w:rsidRPr="00FE1DA2">
        <w:rPr>
          <w:spacing w:val="-3"/>
        </w:rPr>
        <w:t xml:space="preserve"> </w:t>
      </w:r>
      <w:r w:rsidRPr="00FE1DA2">
        <w:t>from</w:t>
      </w:r>
      <w:r w:rsidRPr="00FE1DA2">
        <w:rPr>
          <w:spacing w:val="-1"/>
        </w:rPr>
        <w:t xml:space="preserve"> </w:t>
      </w:r>
      <w:r w:rsidRPr="00FE1DA2">
        <w:t>being</w:t>
      </w:r>
      <w:r w:rsidRPr="00FE1DA2">
        <w:rPr>
          <w:spacing w:val="-4"/>
        </w:rPr>
        <w:t xml:space="preserve"> </w:t>
      </w:r>
      <w:r w:rsidRPr="00FE1DA2">
        <w:t>harmed</w:t>
      </w:r>
      <w:r w:rsidRPr="00FE1DA2">
        <w:rPr>
          <w:spacing w:val="-4"/>
        </w:rPr>
        <w:t xml:space="preserve"> </w:t>
      </w:r>
      <w:r w:rsidRPr="00FE1DA2">
        <w:t>or</w:t>
      </w:r>
      <w:r w:rsidRPr="00FE1DA2">
        <w:rPr>
          <w:spacing w:val="-4"/>
        </w:rPr>
        <w:t xml:space="preserve"> </w:t>
      </w:r>
      <w:r>
        <w:rPr>
          <w:spacing w:val="-4"/>
        </w:rPr>
        <w:tab/>
      </w:r>
      <w:r w:rsidRPr="00FE1DA2">
        <w:t>exploited</w:t>
      </w:r>
      <w:r w:rsidRPr="00FE1DA2">
        <w:rPr>
          <w:spacing w:val="-4"/>
        </w:rPr>
        <w:t xml:space="preserve"> </w:t>
      </w:r>
      <w:r w:rsidRPr="00FE1DA2">
        <w:t>by</w:t>
      </w:r>
      <w:r w:rsidRPr="00FE1DA2">
        <w:rPr>
          <w:spacing w:val="-2"/>
        </w:rPr>
        <w:t xml:space="preserve"> gambling</w:t>
      </w:r>
    </w:p>
    <w:p w14:paraId="27C97607" w14:textId="77777777" w:rsidR="009544E2" w:rsidRPr="00FE1DA2" w:rsidRDefault="009544E2" w:rsidP="009544E2">
      <w:pPr>
        <w:pStyle w:val="BodyText"/>
        <w:spacing w:before="9"/>
        <w:rPr>
          <w:sz w:val="23"/>
        </w:rPr>
      </w:pPr>
    </w:p>
    <w:p w14:paraId="76C1BA1D" w14:textId="77777777" w:rsidR="009544E2" w:rsidRPr="00FE1DA2" w:rsidRDefault="009544E2" w:rsidP="009544E2">
      <w:pPr>
        <w:pStyle w:val="BodyText"/>
        <w:spacing w:before="1"/>
        <w:ind w:right="108"/>
        <w:jc w:val="both"/>
      </w:pPr>
      <w:r w:rsidRPr="00FE1DA2">
        <w:t>The policy guides the administration of licensing under The Act and helps to ensure that an appropriate balance is drawn between the interests of those wishing to provide and take part in legal gambling, and those who might be adversely affected by such activities.</w:t>
      </w:r>
    </w:p>
    <w:p w14:paraId="010DF27F" w14:textId="77777777" w:rsidR="009544E2" w:rsidRPr="00FE1DA2" w:rsidRDefault="009544E2" w:rsidP="009544E2">
      <w:pPr>
        <w:pStyle w:val="BodyText"/>
        <w:spacing w:before="11"/>
        <w:rPr>
          <w:sz w:val="23"/>
        </w:rPr>
      </w:pPr>
    </w:p>
    <w:p w14:paraId="0F1CA910" w14:textId="489384B6" w:rsidR="009544E2" w:rsidRPr="00FE1DA2" w:rsidRDefault="009544E2" w:rsidP="009544E2">
      <w:pPr>
        <w:pStyle w:val="BodyText"/>
        <w:ind w:right="107"/>
        <w:jc w:val="both"/>
      </w:pPr>
      <w:r w:rsidRPr="00FE1DA2">
        <w:t>Under the Act, we are required to review</w:t>
      </w:r>
      <w:r w:rsidRPr="00FE1DA2">
        <w:rPr>
          <w:spacing w:val="-1"/>
        </w:rPr>
        <w:t xml:space="preserve"> </w:t>
      </w:r>
      <w:r w:rsidRPr="00FE1DA2">
        <w:t>our</w:t>
      </w:r>
      <w:r w:rsidRPr="00FE1DA2">
        <w:rPr>
          <w:spacing w:val="-2"/>
        </w:rPr>
        <w:t xml:space="preserve"> </w:t>
      </w:r>
      <w:r w:rsidRPr="00FE1DA2">
        <w:t>policy at least every three years</w:t>
      </w:r>
      <w:r w:rsidRPr="00FE1DA2">
        <w:rPr>
          <w:spacing w:val="-1"/>
        </w:rPr>
        <w:t xml:space="preserve"> </w:t>
      </w:r>
      <w:r w:rsidRPr="00FE1DA2">
        <w:t>or when we believe the policy requires updating. The current policy period ends on 31 January 2025.</w:t>
      </w:r>
    </w:p>
    <w:p w14:paraId="598E83C2" w14:textId="77777777" w:rsidR="009544E2" w:rsidRPr="00FE1DA2" w:rsidRDefault="009544E2" w:rsidP="009544E2">
      <w:pPr>
        <w:pStyle w:val="BodyText"/>
      </w:pPr>
    </w:p>
    <w:p w14:paraId="4B61909D" w14:textId="022706DA" w:rsidR="009544E2" w:rsidRDefault="009544E2" w:rsidP="009544E2">
      <w:pPr>
        <w:pStyle w:val="BodyText"/>
        <w:ind w:right="105"/>
        <w:jc w:val="both"/>
      </w:pPr>
      <w:r w:rsidRPr="00FE1DA2">
        <w:t xml:space="preserve">The </w:t>
      </w:r>
      <w:hyperlink r:id="rId8" w:history="1">
        <w:r w:rsidRPr="009544E2">
          <w:rPr>
            <w:rStyle w:val="Hyperlink"/>
            <w:b/>
            <w:bCs/>
            <w:color w:val="00B050"/>
          </w:rPr>
          <w:t>Current SoGP</w:t>
        </w:r>
      </w:hyperlink>
      <w:r>
        <w:t xml:space="preserve"> </w:t>
      </w:r>
      <w:r w:rsidRPr="00FE1DA2">
        <w:t>has not been the subject of any legal challenge or complaint. It is therefore considered that the current Statement of Gambling Principles remains fit for purpose and only minor amendments are proposed. However, s.349 (3) Gambling Act 2005 requires a licensing authority to consult when "preparing a statement or revision".</w:t>
      </w:r>
    </w:p>
    <w:p w14:paraId="69EEAA2F" w14:textId="77777777" w:rsidR="009544E2" w:rsidRDefault="009544E2" w:rsidP="009544E2">
      <w:pPr>
        <w:pStyle w:val="BodyText"/>
        <w:ind w:right="105"/>
        <w:jc w:val="both"/>
      </w:pPr>
    </w:p>
    <w:p w14:paraId="15A1ECCE" w14:textId="77777777" w:rsidR="009544E2" w:rsidRPr="009544E2" w:rsidRDefault="009544E2" w:rsidP="009544E2">
      <w:pPr>
        <w:rPr>
          <w:b/>
        </w:rPr>
      </w:pPr>
      <w:r w:rsidRPr="009544E2">
        <w:rPr>
          <w:b/>
        </w:rPr>
        <w:t>Changes Proposed to the Existing Policy</w:t>
      </w:r>
    </w:p>
    <w:p w14:paraId="000657FB" w14:textId="27DCBAB5" w:rsidR="009544E2" w:rsidRDefault="009544E2" w:rsidP="00B43C10">
      <w:pPr>
        <w:jc w:val="both"/>
      </w:pPr>
      <w:r w:rsidRPr="00FE1DA2">
        <w:t>The current SOGP was</w:t>
      </w:r>
      <w:r w:rsidRPr="009544E2">
        <w:t xml:space="preserve"> </w:t>
      </w:r>
      <w:r w:rsidRPr="00FE1DA2">
        <w:t>comprehensively</w:t>
      </w:r>
      <w:r w:rsidRPr="009544E2">
        <w:t xml:space="preserve"> </w:t>
      </w:r>
      <w:r w:rsidRPr="00FE1DA2">
        <w:t>reviewed in 2022</w:t>
      </w:r>
      <w:r w:rsidRPr="009544E2">
        <w:t xml:space="preserve"> </w:t>
      </w:r>
      <w:r w:rsidRPr="00FE1DA2">
        <w:t>to</w:t>
      </w:r>
      <w:r w:rsidRPr="009544E2">
        <w:t xml:space="preserve"> </w:t>
      </w:r>
      <w:r w:rsidRPr="00FE1DA2">
        <w:t>reflect the updated</w:t>
      </w:r>
      <w:r w:rsidRPr="009544E2">
        <w:t xml:space="preserve"> </w:t>
      </w:r>
      <w:r w:rsidRPr="00FE1DA2">
        <w:t>Guidance published by</w:t>
      </w:r>
      <w:r w:rsidRPr="009544E2">
        <w:t xml:space="preserve"> </w:t>
      </w:r>
      <w:r w:rsidRPr="00FE1DA2">
        <w:t>the</w:t>
      </w:r>
      <w:r w:rsidRPr="009544E2">
        <w:t xml:space="preserve"> </w:t>
      </w:r>
      <w:r w:rsidRPr="00FE1DA2">
        <w:t>Gambling Commission. No</w:t>
      </w:r>
      <w:r w:rsidRPr="009544E2">
        <w:t xml:space="preserve"> </w:t>
      </w:r>
      <w:r w:rsidRPr="00FE1DA2">
        <w:t>substantive changes have</w:t>
      </w:r>
      <w:r w:rsidRPr="009544E2">
        <w:t xml:space="preserve"> </w:t>
      </w:r>
      <w:r w:rsidRPr="00FE1DA2">
        <w:t>been</w:t>
      </w:r>
      <w:r w:rsidRPr="009544E2">
        <w:t xml:space="preserve"> </w:t>
      </w:r>
      <w:r w:rsidRPr="00FE1DA2">
        <w:t>made</w:t>
      </w:r>
      <w:r>
        <w:t xml:space="preserve"> to the draft consultation iteration of the policy. The only changes consulted on were an update to the </w:t>
      </w:r>
      <w:r w:rsidRPr="00FE1DA2">
        <w:t>district's population</w:t>
      </w:r>
      <w:r w:rsidRPr="009544E2">
        <w:t xml:space="preserve"> </w:t>
      </w:r>
      <w:r w:rsidRPr="00FE1DA2">
        <w:t>data</w:t>
      </w:r>
      <w:r w:rsidRPr="009544E2">
        <w:t xml:space="preserve"> </w:t>
      </w:r>
      <w:r w:rsidRPr="00FE1DA2">
        <w:t>and</w:t>
      </w:r>
      <w:r w:rsidRPr="009544E2">
        <w:t xml:space="preserve"> </w:t>
      </w:r>
      <w:r w:rsidRPr="00FE1DA2">
        <w:t>definitions around</w:t>
      </w:r>
      <w:r w:rsidRPr="009544E2">
        <w:t xml:space="preserve"> </w:t>
      </w:r>
      <w:r w:rsidRPr="00FE1DA2">
        <w:t>gaming</w:t>
      </w:r>
      <w:r w:rsidRPr="009544E2">
        <w:t xml:space="preserve"> </w:t>
      </w:r>
      <w:r w:rsidRPr="00FE1DA2">
        <w:t>machine</w:t>
      </w:r>
      <w:r w:rsidRPr="009544E2">
        <w:t xml:space="preserve"> </w:t>
      </w:r>
      <w:r w:rsidRPr="00FE1DA2">
        <w:t xml:space="preserve">classifications </w:t>
      </w:r>
      <w:r>
        <w:t xml:space="preserve">were </w:t>
      </w:r>
      <w:r w:rsidRPr="00FE1DA2">
        <w:t>added to the glossary.</w:t>
      </w:r>
    </w:p>
    <w:p w14:paraId="314F419B" w14:textId="77777777" w:rsidR="009544E2" w:rsidRDefault="009544E2" w:rsidP="00B43C10">
      <w:pPr>
        <w:jc w:val="both"/>
      </w:pPr>
    </w:p>
    <w:p w14:paraId="75091DF0" w14:textId="77777777" w:rsidR="009544E2" w:rsidRPr="009544E2" w:rsidRDefault="009544E2" w:rsidP="009544E2">
      <w:pPr>
        <w:rPr>
          <w:b/>
        </w:rPr>
      </w:pPr>
      <w:r w:rsidRPr="009544E2">
        <w:rPr>
          <w:b/>
        </w:rPr>
        <w:t>Why We Wanted Your Views</w:t>
      </w:r>
    </w:p>
    <w:p w14:paraId="79CE85C8" w14:textId="1D9661ED" w:rsidR="009544E2" w:rsidRPr="00FE1DA2" w:rsidRDefault="009544E2" w:rsidP="009544E2">
      <w:r w:rsidRPr="00FE1DA2">
        <w:t>It</w:t>
      </w:r>
      <w:r>
        <w:t xml:space="preserve"> is</w:t>
      </w:r>
      <w:r w:rsidRPr="009544E2">
        <w:t xml:space="preserve"> </w:t>
      </w:r>
      <w:r w:rsidRPr="00FE1DA2">
        <w:t>by</w:t>
      </w:r>
      <w:r w:rsidRPr="009544E2">
        <w:t xml:space="preserve"> </w:t>
      </w:r>
      <w:r w:rsidRPr="00FE1DA2">
        <w:t>hearing</w:t>
      </w:r>
      <w:r w:rsidRPr="009544E2">
        <w:t xml:space="preserve"> </w:t>
      </w:r>
      <w:r w:rsidRPr="00FE1DA2">
        <w:t>from local</w:t>
      </w:r>
      <w:r w:rsidRPr="009544E2">
        <w:t xml:space="preserve"> </w:t>
      </w:r>
      <w:r w:rsidRPr="00FE1DA2">
        <w:t>people</w:t>
      </w:r>
      <w:r w:rsidRPr="009544E2">
        <w:t xml:space="preserve"> </w:t>
      </w:r>
      <w:r w:rsidRPr="00FE1DA2">
        <w:t>that</w:t>
      </w:r>
      <w:r w:rsidRPr="009544E2">
        <w:t xml:space="preserve"> </w:t>
      </w:r>
      <w:r w:rsidRPr="00FE1DA2">
        <w:t>we</w:t>
      </w:r>
      <w:r w:rsidRPr="009544E2">
        <w:t xml:space="preserve"> </w:t>
      </w:r>
      <w:r w:rsidRPr="00FE1DA2">
        <w:t>can</w:t>
      </w:r>
      <w:r w:rsidRPr="009544E2">
        <w:t xml:space="preserve"> </w:t>
      </w:r>
      <w:r w:rsidRPr="00FE1DA2">
        <w:t>make</w:t>
      </w:r>
      <w:r w:rsidRPr="009544E2">
        <w:t xml:space="preserve"> </w:t>
      </w:r>
      <w:r w:rsidRPr="00FE1DA2">
        <w:t>the</w:t>
      </w:r>
      <w:r w:rsidRPr="009544E2">
        <w:t xml:space="preserve"> </w:t>
      </w:r>
      <w:r w:rsidRPr="00FE1DA2">
        <w:t>changes</w:t>
      </w:r>
      <w:r w:rsidRPr="009544E2">
        <w:t xml:space="preserve"> </w:t>
      </w:r>
      <w:r w:rsidRPr="00FE1DA2">
        <w:t>needed</w:t>
      </w:r>
      <w:r w:rsidRPr="009544E2">
        <w:t xml:space="preserve"> </w:t>
      </w:r>
      <w:r w:rsidRPr="00FE1DA2">
        <w:t>to</w:t>
      </w:r>
      <w:r w:rsidRPr="009544E2">
        <w:t xml:space="preserve"> </w:t>
      </w:r>
      <w:r w:rsidRPr="00FE1DA2">
        <w:t>ensure</w:t>
      </w:r>
      <w:r w:rsidRPr="009544E2">
        <w:t xml:space="preserve"> </w:t>
      </w:r>
      <w:r w:rsidRPr="00FE1DA2">
        <w:t>our</w:t>
      </w:r>
      <w:r w:rsidRPr="009544E2">
        <w:t xml:space="preserve"> </w:t>
      </w:r>
      <w:r w:rsidRPr="00FE1DA2">
        <w:t>policy</w:t>
      </w:r>
      <w:r w:rsidRPr="009544E2">
        <w:t xml:space="preserve"> </w:t>
      </w:r>
      <w:r w:rsidRPr="00FE1DA2">
        <w:t>is</w:t>
      </w:r>
      <w:r w:rsidRPr="009544E2">
        <w:t xml:space="preserve"> </w:t>
      </w:r>
      <w:r w:rsidRPr="00FE1DA2">
        <w:t xml:space="preserve">fit </w:t>
      </w:r>
      <w:bookmarkStart w:id="0" w:name="Who_and_How_we_Consulted"/>
      <w:bookmarkEnd w:id="0"/>
      <w:r w:rsidRPr="00FE1DA2">
        <w:t>for purpose and reflective of the needs in our local area</w:t>
      </w:r>
    </w:p>
    <w:p w14:paraId="0AB8F7DA" w14:textId="77777777" w:rsidR="009544E2" w:rsidRPr="00FE1DA2" w:rsidRDefault="009544E2" w:rsidP="009544E2"/>
    <w:p w14:paraId="47187459" w14:textId="5E1F2173" w:rsidR="009544E2" w:rsidRPr="009544E2" w:rsidRDefault="009544E2" w:rsidP="009544E2">
      <w:pPr>
        <w:rPr>
          <w:b/>
        </w:rPr>
      </w:pPr>
      <w:r w:rsidRPr="009544E2">
        <w:rPr>
          <w:b/>
        </w:rPr>
        <w:t>Who and How we Consulted</w:t>
      </w:r>
    </w:p>
    <w:p w14:paraId="2569293B" w14:textId="21047F3A" w:rsidR="009544E2" w:rsidRPr="00FE1DA2" w:rsidRDefault="009544E2" w:rsidP="00D53127">
      <w:pPr>
        <w:pStyle w:val="ListParagraph"/>
        <w:widowControl w:val="0"/>
        <w:numPr>
          <w:ilvl w:val="0"/>
          <w:numId w:val="3"/>
        </w:numPr>
        <w:tabs>
          <w:tab w:val="left" w:pos="567"/>
        </w:tabs>
        <w:autoSpaceDE w:val="0"/>
        <w:autoSpaceDN w:val="0"/>
        <w:ind w:left="567" w:right="620" w:hanging="567"/>
        <w:contextualSpacing w:val="0"/>
      </w:pPr>
      <w:r w:rsidRPr="00FE1DA2">
        <w:t>The</w:t>
      </w:r>
      <w:r w:rsidRPr="00FE1DA2">
        <w:rPr>
          <w:spacing w:val="-11"/>
        </w:rPr>
        <w:t xml:space="preserve"> </w:t>
      </w:r>
      <w:r w:rsidRPr="00FE1DA2">
        <w:t>consultation</w:t>
      </w:r>
      <w:r w:rsidRPr="00FE1DA2">
        <w:rPr>
          <w:spacing w:val="-11"/>
        </w:rPr>
        <w:t xml:space="preserve"> </w:t>
      </w:r>
      <w:r w:rsidRPr="00FE1DA2">
        <w:t>was</w:t>
      </w:r>
      <w:r w:rsidRPr="00FE1DA2">
        <w:rPr>
          <w:spacing w:val="-12"/>
        </w:rPr>
        <w:t xml:space="preserve"> </w:t>
      </w:r>
      <w:r w:rsidRPr="00FE1DA2">
        <w:t>posted</w:t>
      </w:r>
      <w:r w:rsidRPr="00FE1DA2">
        <w:rPr>
          <w:spacing w:val="-13"/>
        </w:rPr>
        <w:t xml:space="preserve"> </w:t>
      </w:r>
      <w:r w:rsidRPr="00FE1DA2">
        <w:t>on</w:t>
      </w:r>
      <w:r w:rsidRPr="00FE1DA2">
        <w:rPr>
          <w:spacing w:val="-13"/>
        </w:rPr>
        <w:t xml:space="preserve"> </w:t>
      </w:r>
      <w:r w:rsidRPr="00FE1DA2">
        <w:t>the</w:t>
      </w:r>
      <w:r w:rsidRPr="00FE1DA2">
        <w:rPr>
          <w:spacing w:val="-11"/>
        </w:rPr>
        <w:t xml:space="preserve"> </w:t>
      </w:r>
      <w:r w:rsidR="00D53127">
        <w:rPr>
          <w:spacing w:val="-11"/>
        </w:rPr>
        <w:t xml:space="preserve">Bracknell Forest </w:t>
      </w:r>
      <w:r w:rsidRPr="00FE1DA2">
        <w:t>Council’s</w:t>
      </w:r>
      <w:r w:rsidRPr="00FE1DA2">
        <w:rPr>
          <w:spacing w:val="-12"/>
        </w:rPr>
        <w:t xml:space="preserve"> </w:t>
      </w:r>
      <w:r w:rsidR="00D53127">
        <w:rPr>
          <w:spacing w:val="-12"/>
        </w:rPr>
        <w:t>C</w:t>
      </w:r>
      <w:r w:rsidRPr="00FE1DA2">
        <w:t>onsultation</w:t>
      </w:r>
      <w:r w:rsidRPr="00FE1DA2">
        <w:rPr>
          <w:spacing w:val="-10"/>
        </w:rPr>
        <w:t xml:space="preserve"> </w:t>
      </w:r>
      <w:r w:rsidR="00D53127">
        <w:rPr>
          <w:spacing w:val="-10"/>
        </w:rPr>
        <w:t xml:space="preserve">Hub </w:t>
      </w:r>
      <w:r w:rsidRPr="00FE1DA2">
        <w:t>and</w:t>
      </w:r>
      <w:r w:rsidRPr="00FE1DA2">
        <w:rPr>
          <w:spacing w:val="-13"/>
        </w:rPr>
        <w:t xml:space="preserve"> </w:t>
      </w:r>
      <w:r w:rsidRPr="00FE1DA2">
        <w:t>on</w:t>
      </w:r>
      <w:r w:rsidRPr="00FE1DA2">
        <w:rPr>
          <w:spacing w:val="-13"/>
        </w:rPr>
        <w:t xml:space="preserve"> </w:t>
      </w:r>
      <w:r w:rsidRPr="00FE1DA2">
        <w:t>the</w:t>
      </w:r>
      <w:r w:rsidRPr="00FE1DA2">
        <w:rPr>
          <w:spacing w:val="-13"/>
        </w:rPr>
        <w:t xml:space="preserve"> </w:t>
      </w:r>
      <w:r w:rsidRPr="00FE1DA2">
        <w:t>Public</w:t>
      </w:r>
      <w:r w:rsidRPr="00FE1DA2">
        <w:rPr>
          <w:spacing w:val="-12"/>
        </w:rPr>
        <w:t xml:space="preserve"> </w:t>
      </w:r>
      <w:r w:rsidRPr="00FE1DA2">
        <w:t xml:space="preserve">Protection Partnership’s website on the </w:t>
      </w:r>
      <w:r w:rsidR="00D53127">
        <w:t xml:space="preserve">25 October </w:t>
      </w:r>
      <w:r w:rsidRPr="00FE1DA2">
        <w:lastRenderedPageBreak/>
        <w:t>2024.</w:t>
      </w:r>
    </w:p>
    <w:p w14:paraId="41DE8694" w14:textId="114C6CF5" w:rsidR="009544E2" w:rsidRPr="00FE1DA2" w:rsidRDefault="009544E2" w:rsidP="00D53127">
      <w:pPr>
        <w:pStyle w:val="ListParagraph"/>
        <w:widowControl w:val="0"/>
        <w:numPr>
          <w:ilvl w:val="0"/>
          <w:numId w:val="3"/>
        </w:numPr>
        <w:tabs>
          <w:tab w:val="left" w:pos="567"/>
        </w:tabs>
        <w:autoSpaceDE w:val="0"/>
        <w:autoSpaceDN w:val="0"/>
        <w:ind w:left="567" w:right="618" w:hanging="567"/>
        <w:contextualSpacing w:val="0"/>
      </w:pPr>
      <w:r w:rsidRPr="00FE1DA2">
        <w:t xml:space="preserve">A Facebook message was posted on the </w:t>
      </w:r>
      <w:r w:rsidR="00D53127">
        <w:t xml:space="preserve">25 October </w:t>
      </w:r>
      <w:r w:rsidRPr="00FE1DA2">
        <w:t xml:space="preserve">2024 </w:t>
      </w:r>
    </w:p>
    <w:p w14:paraId="10DDBB61" w14:textId="7466AA94" w:rsidR="009544E2" w:rsidRPr="00FE1DA2" w:rsidRDefault="009544E2" w:rsidP="00D53127">
      <w:pPr>
        <w:pStyle w:val="ListParagraph"/>
        <w:widowControl w:val="0"/>
        <w:numPr>
          <w:ilvl w:val="0"/>
          <w:numId w:val="3"/>
        </w:numPr>
        <w:tabs>
          <w:tab w:val="left" w:pos="567"/>
        </w:tabs>
        <w:autoSpaceDE w:val="0"/>
        <w:autoSpaceDN w:val="0"/>
        <w:spacing w:line="292" w:lineRule="exact"/>
        <w:ind w:left="567" w:hanging="567"/>
        <w:contextualSpacing w:val="0"/>
      </w:pPr>
      <w:r w:rsidRPr="00FE1DA2">
        <w:t>A</w:t>
      </w:r>
      <w:r w:rsidRPr="00FE1DA2">
        <w:rPr>
          <w:spacing w:val="-4"/>
        </w:rPr>
        <w:t xml:space="preserve"> </w:t>
      </w:r>
      <w:r w:rsidRPr="00FE1DA2">
        <w:t>press</w:t>
      </w:r>
      <w:r w:rsidRPr="00FE1DA2">
        <w:rPr>
          <w:spacing w:val="-2"/>
        </w:rPr>
        <w:t xml:space="preserve"> </w:t>
      </w:r>
      <w:r w:rsidRPr="00FE1DA2">
        <w:t>release</w:t>
      </w:r>
      <w:r w:rsidRPr="00FE1DA2">
        <w:rPr>
          <w:spacing w:val="-1"/>
        </w:rPr>
        <w:t xml:space="preserve"> </w:t>
      </w:r>
      <w:r w:rsidRPr="00FE1DA2">
        <w:t>was</w:t>
      </w:r>
      <w:r w:rsidRPr="00FE1DA2">
        <w:rPr>
          <w:spacing w:val="-2"/>
        </w:rPr>
        <w:t xml:space="preserve"> </w:t>
      </w:r>
      <w:r w:rsidRPr="00FE1DA2">
        <w:t>issued</w:t>
      </w:r>
      <w:r w:rsidRPr="00FE1DA2">
        <w:rPr>
          <w:spacing w:val="-3"/>
        </w:rPr>
        <w:t xml:space="preserve"> </w:t>
      </w:r>
      <w:r w:rsidRPr="00FE1DA2">
        <w:t>on</w:t>
      </w:r>
      <w:r w:rsidRPr="00FE1DA2">
        <w:rPr>
          <w:spacing w:val="-2"/>
        </w:rPr>
        <w:t xml:space="preserve"> </w:t>
      </w:r>
      <w:r w:rsidRPr="00FE1DA2">
        <w:t>the</w:t>
      </w:r>
      <w:r w:rsidRPr="00FE1DA2">
        <w:rPr>
          <w:spacing w:val="-3"/>
        </w:rPr>
        <w:t xml:space="preserve"> </w:t>
      </w:r>
      <w:r w:rsidR="00D53127">
        <w:rPr>
          <w:spacing w:val="-3"/>
        </w:rPr>
        <w:t xml:space="preserve">25 October </w:t>
      </w:r>
      <w:r w:rsidRPr="00FE1DA2">
        <w:rPr>
          <w:spacing w:val="-4"/>
        </w:rPr>
        <w:t>2024</w:t>
      </w:r>
    </w:p>
    <w:p w14:paraId="256A2306" w14:textId="27454F37" w:rsidR="009544E2" w:rsidRPr="00FE1DA2" w:rsidRDefault="009544E2" w:rsidP="00D53127">
      <w:pPr>
        <w:pStyle w:val="ListParagraph"/>
        <w:widowControl w:val="0"/>
        <w:numPr>
          <w:ilvl w:val="0"/>
          <w:numId w:val="3"/>
        </w:numPr>
        <w:tabs>
          <w:tab w:val="left" w:pos="567"/>
        </w:tabs>
        <w:autoSpaceDE w:val="0"/>
        <w:autoSpaceDN w:val="0"/>
        <w:spacing w:line="293" w:lineRule="exact"/>
        <w:ind w:left="567" w:hanging="567"/>
        <w:contextualSpacing w:val="0"/>
      </w:pPr>
      <w:r w:rsidRPr="00FE1DA2">
        <w:t>The</w:t>
      </w:r>
      <w:r w:rsidRPr="00FE1DA2">
        <w:rPr>
          <w:spacing w:val="-4"/>
        </w:rPr>
        <w:t xml:space="preserve"> </w:t>
      </w:r>
      <w:r w:rsidRPr="00FE1DA2">
        <w:t>consultation</w:t>
      </w:r>
      <w:r w:rsidRPr="00FE1DA2">
        <w:rPr>
          <w:spacing w:val="-1"/>
        </w:rPr>
        <w:t xml:space="preserve"> </w:t>
      </w:r>
      <w:r w:rsidRPr="00FE1DA2">
        <w:t>ran</w:t>
      </w:r>
      <w:r w:rsidRPr="00FE1DA2">
        <w:rPr>
          <w:spacing w:val="-2"/>
        </w:rPr>
        <w:t xml:space="preserve"> </w:t>
      </w:r>
      <w:r w:rsidRPr="00FE1DA2">
        <w:t>from</w:t>
      </w:r>
      <w:r w:rsidRPr="00FE1DA2">
        <w:rPr>
          <w:spacing w:val="-3"/>
        </w:rPr>
        <w:t xml:space="preserve"> </w:t>
      </w:r>
      <w:r w:rsidRPr="00FE1DA2">
        <w:t>the</w:t>
      </w:r>
      <w:r w:rsidRPr="00FE1DA2">
        <w:rPr>
          <w:spacing w:val="-4"/>
        </w:rPr>
        <w:t xml:space="preserve"> </w:t>
      </w:r>
      <w:r w:rsidR="00D53127">
        <w:rPr>
          <w:spacing w:val="-4"/>
        </w:rPr>
        <w:t xml:space="preserve">25 October </w:t>
      </w:r>
      <w:r w:rsidRPr="00FE1DA2">
        <w:t>to</w:t>
      </w:r>
      <w:r w:rsidRPr="00FE1DA2">
        <w:rPr>
          <w:spacing w:val="-4"/>
        </w:rPr>
        <w:t xml:space="preserve"> </w:t>
      </w:r>
      <w:r w:rsidR="00D53127">
        <w:rPr>
          <w:spacing w:val="-4"/>
        </w:rPr>
        <w:t xml:space="preserve">06 December </w:t>
      </w:r>
      <w:r w:rsidRPr="00FE1DA2">
        <w:rPr>
          <w:spacing w:val="-2"/>
        </w:rPr>
        <w:t>2024.</w:t>
      </w:r>
    </w:p>
    <w:p w14:paraId="73CE6C27" w14:textId="395EDAC0" w:rsidR="009544E2" w:rsidRPr="00FE1DA2" w:rsidRDefault="009544E2" w:rsidP="00D53127">
      <w:pPr>
        <w:pStyle w:val="ListParagraph"/>
        <w:widowControl w:val="0"/>
        <w:numPr>
          <w:ilvl w:val="0"/>
          <w:numId w:val="3"/>
        </w:numPr>
        <w:tabs>
          <w:tab w:val="left" w:pos="567"/>
        </w:tabs>
        <w:autoSpaceDE w:val="0"/>
        <w:autoSpaceDN w:val="0"/>
        <w:spacing w:line="292" w:lineRule="exact"/>
        <w:ind w:left="567" w:hanging="567"/>
        <w:contextualSpacing w:val="0"/>
      </w:pPr>
      <w:r w:rsidRPr="00FE1DA2">
        <w:t>A</w:t>
      </w:r>
      <w:r w:rsidRPr="00FE1DA2">
        <w:rPr>
          <w:spacing w:val="-4"/>
        </w:rPr>
        <w:t xml:space="preserve"> </w:t>
      </w:r>
      <w:r w:rsidRPr="00FE1DA2">
        <w:t>notice</w:t>
      </w:r>
      <w:r w:rsidRPr="00FE1DA2">
        <w:rPr>
          <w:spacing w:val="-2"/>
        </w:rPr>
        <w:t xml:space="preserve"> </w:t>
      </w:r>
      <w:r w:rsidRPr="00FE1DA2">
        <w:t>was</w:t>
      </w:r>
      <w:r w:rsidRPr="00FE1DA2">
        <w:rPr>
          <w:spacing w:val="-5"/>
        </w:rPr>
        <w:t xml:space="preserve"> </w:t>
      </w:r>
      <w:r w:rsidRPr="00FE1DA2">
        <w:t>placed</w:t>
      </w:r>
      <w:r w:rsidRPr="00FE1DA2">
        <w:rPr>
          <w:spacing w:val="-2"/>
        </w:rPr>
        <w:t xml:space="preserve"> </w:t>
      </w:r>
      <w:r w:rsidRPr="00FE1DA2">
        <w:t>on</w:t>
      </w:r>
      <w:r w:rsidRPr="00FE1DA2">
        <w:rPr>
          <w:spacing w:val="-1"/>
        </w:rPr>
        <w:t xml:space="preserve"> </w:t>
      </w:r>
      <w:r w:rsidRPr="00FE1DA2">
        <w:t>the</w:t>
      </w:r>
      <w:r w:rsidRPr="00FE1DA2">
        <w:rPr>
          <w:spacing w:val="-2"/>
        </w:rPr>
        <w:t xml:space="preserve"> </w:t>
      </w:r>
      <w:r w:rsidRPr="00FE1DA2">
        <w:t>noticeboards</w:t>
      </w:r>
      <w:r w:rsidRPr="00FE1DA2">
        <w:rPr>
          <w:spacing w:val="-5"/>
        </w:rPr>
        <w:t xml:space="preserve"> </w:t>
      </w:r>
      <w:r w:rsidRPr="00FE1DA2">
        <w:t>at</w:t>
      </w:r>
      <w:r w:rsidRPr="00FE1DA2">
        <w:rPr>
          <w:spacing w:val="-3"/>
        </w:rPr>
        <w:t xml:space="preserve"> </w:t>
      </w:r>
      <w:r w:rsidR="00D53127">
        <w:rPr>
          <w:spacing w:val="-3"/>
        </w:rPr>
        <w:t xml:space="preserve">Bracknell </w:t>
      </w:r>
      <w:r w:rsidRPr="00FE1DA2">
        <w:t>Library</w:t>
      </w:r>
      <w:r w:rsidRPr="00FE1DA2">
        <w:rPr>
          <w:spacing w:val="-3"/>
        </w:rPr>
        <w:t xml:space="preserve"> </w:t>
      </w:r>
      <w:r w:rsidRPr="00FE1DA2">
        <w:t>and</w:t>
      </w:r>
      <w:r w:rsidRPr="00FE1DA2">
        <w:rPr>
          <w:spacing w:val="-2"/>
        </w:rPr>
        <w:t xml:space="preserve"> </w:t>
      </w:r>
      <w:r w:rsidR="00D53127">
        <w:rPr>
          <w:spacing w:val="-2"/>
        </w:rPr>
        <w:t xml:space="preserve">Times </w:t>
      </w:r>
      <w:r w:rsidR="00CE1DC6">
        <w:rPr>
          <w:spacing w:val="-2"/>
        </w:rPr>
        <w:t xml:space="preserve">Square </w:t>
      </w:r>
      <w:r w:rsidR="00CE1DC6" w:rsidRPr="00FE1DA2">
        <w:rPr>
          <w:spacing w:val="-2"/>
        </w:rPr>
        <w:t>Reception</w:t>
      </w:r>
    </w:p>
    <w:p w14:paraId="5117FF3D" w14:textId="77777777" w:rsidR="009544E2" w:rsidRPr="00FE1DA2" w:rsidRDefault="009544E2" w:rsidP="00D53127">
      <w:pPr>
        <w:pStyle w:val="ListParagraph"/>
        <w:widowControl w:val="0"/>
        <w:numPr>
          <w:ilvl w:val="0"/>
          <w:numId w:val="3"/>
        </w:numPr>
        <w:tabs>
          <w:tab w:val="left" w:pos="567"/>
        </w:tabs>
        <w:autoSpaceDE w:val="0"/>
        <w:autoSpaceDN w:val="0"/>
        <w:spacing w:line="292" w:lineRule="exact"/>
        <w:ind w:left="567" w:hanging="567"/>
        <w:contextualSpacing w:val="0"/>
      </w:pPr>
      <w:bookmarkStart w:id="1" w:name="What_you_Told_Us"/>
      <w:bookmarkEnd w:id="1"/>
      <w:r w:rsidRPr="00FE1DA2">
        <w:t>We</w:t>
      </w:r>
      <w:r w:rsidRPr="00FE1DA2">
        <w:rPr>
          <w:spacing w:val="-4"/>
        </w:rPr>
        <w:t xml:space="preserve"> </w:t>
      </w:r>
      <w:r w:rsidRPr="00FE1DA2">
        <w:t>wrote</w:t>
      </w:r>
      <w:r w:rsidRPr="00FE1DA2">
        <w:rPr>
          <w:spacing w:val="-1"/>
        </w:rPr>
        <w:t xml:space="preserve"> </w:t>
      </w:r>
      <w:r w:rsidRPr="00FE1DA2">
        <w:t>to</w:t>
      </w:r>
      <w:r w:rsidRPr="00FE1DA2">
        <w:rPr>
          <w:spacing w:val="-4"/>
        </w:rPr>
        <w:t xml:space="preserve"> </w:t>
      </w:r>
      <w:r w:rsidRPr="00FE1DA2">
        <w:t>the</w:t>
      </w:r>
      <w:r w:rsidRPr="00FE1DA2">
        <w:rPr>
          <w:spacing w:val="-1"/>
        </w:rPr>
        <w:t xml:space="preserve"> </w:t>
      </w:r>
      <w:r w:rsidRPr="00FE1DA2">
        <w:t>individuals</w:t>
      </w:r>
      <w:r w:rsidRPr="00FE1DA2">
        <w:rPr>
          <w:spacing w:val="-2"/>
        </w:rPr>
        <w:t xml:space="preserve"> </w:t>
      </w:r>
      <w:r w:rsidRPr="00FE1DA2">
        <w:t>and</w:t>
      </w:r>
      <w:r w:rsidRPr="00FE1DA2">
        <w:rPr>
          <w:spacing w:val="-2"/>
        </w:rPr>
        <w:t xml:space="preserve"> </w:t>
      </w:r>
      <w:r w:rsidRPr="00FE1DA2">
        <w:t>organisations</w:t>
      </w:r>
      <w:r w:rsidRPr="00FE1DA2">
        <w:rPr>
          <w:spacing w:val="-4"/>
        </w:rPr>
        <w:t xml:space="preserve"> </w:t>
      </w:r>
      <w:r w:rsidRPr="00FE1DA2">
        <w:t>listed</w:t>
      </w:r>
      <w:r w:rsidRPr="00FE1DA2">
        <w:rPr>
          <w:spacing w:val="-2"/>
        </w:rPr>
        <w:t xml:space="preserve"> </w:t>
      </w:r>
      <w:r w:rsidRPr="00FE1DA2">
        <w:t>in</w:t>
      </w:r>
      <w:r w:rsidRPr="00FE1DA2">
        <w:rPr>
          <w:spacing w:val="-3"/>
        </w:rPr>
        <w:t xml:space="preserve"> </w:t>
      </w:r>
      <w:r w:rsidRPr="00FE1DA2">
        <w:t>Appendix</w:t>
      </w:r>
      <w:r w:rsidRPr="00FE1DA2">
        <w:rPr>
          <w:spacing w:val="-2"/>
        </w:rPr>
        <w:t xml:space="preserve"> </w:t>
      </w:r>
      <w:r w:rsidRPr="00FE1DA2">
        <w:t>A</w:t>
      </w:r>
      <w:r w:rsidRPr="00FE1DA2">
        <w:rPr>
          <w:spacing w:val="-2"/>
        </w:rPr>
        <w:t xml:space="preserve"> </w:t>
      </w:r>
      <w:r w:rsidRPr="00FE1DA2">
        <w:t>to</w:t>
      </w:r>
      <w:r w:rsidRPr="00FE1DA2">
        <w:rPr>
          <w:spacing w:val="-3"/>
        </w:rPr>
        <w:t xml:space="preserve"> </w:t>
      </w:r>
      <w:r w:rsidRPr="00FE1DA2">
        <w:t>the</w:t>
      </w:r>
      <w:r w:rsidRPr="00FE1DA2">
        <w:rPr>
          <w:spacing w:val="-1"/>
        </w:rPr>
        <w:t xml:space="preserve"> </w:t>
      </w:r>
      <w:r w:rsidRPr="00FE1DA2">
        <w:rPr>
          <w:spacing w:val="-2"/>
        </w:rPr>
        <w:t>report.</w:t>
      </w:r>
    </w:p>
    <w:p w14:paraId="3D36A45A" w14:textId="77777777" w:rsidR="00F14E3A" w:rsidRDefault="00F14E3A"/>
    <w:p w14:paraId="744BDA1F" w14:textId="3CC8FB5C" w:rsidR="00F14E3A" w:rsidRDefault="00D53127">
      <w:pPr>
        <w:rPr>
          <w:b/>
        </w:rPr>
      </w:pPr>
      <w:r>
        <w:rPr>
          <w:b/>
        </w:rPr>
        <w:t>What You Told Us</w:t>
      </w:r>
    </w:p>
    <w:p w14:paraId="151BBF0C" w14:textId="27D26A74" w:rsidR="00D53127" w:rsidRPr="00FE1DA2" w:rsidRDefault="00D53127" w:rsidP="007D3797">
      <w:pPr>
        <w:pStyle w:val="BodyText"/>
        <w:spacing w:before="66" w:line="237" w:lineRule="auto"/>
        <w:jc w:val="both"/>
      </w:pPr>
      <w:bookmarkStart w:id="2" w:name="_Hlk176874737"/>
      <w:r w:rsidRPr="001B5062">
        <w:t>The</w:t>
      </w:r>
      <w:r w:rsidRPr="001B5062">
        <w:rPr>
          <w:spacing w:val="25"/>
        </w:rPr>
        <w:t xml:space="preserve"> </w:t>
      </w:r>
      <w:r w:rsidRPr="001B5062">
        <w:t>Council</w:t>
      </w:r>
      <w:r w:rsidRPr="001B5062">
        <w:rPr>
          <w:spacing w:val="24"/>
        </w:rPr>
        <w:t xml:space="preserve"> </w:t>
      </w:r>
      <w:r w:rsidRPr="001B5062">
        <w:t>received</w:t>
      </w:r>
      <w:r w:rsidRPr="001B5062">
        <w:rPr>
          <w:spacing w:val="23"/>
        </w:rPr>
        <w:t xml:space="preserve"> </w:t>
      </w:r>
      <w:r w:rsidR="001B5062" w:rsidRPr="001B5062">
        <w:t>two</w:t>
      </w:r>
      <w:r w:rsidRPr="001B5062">
        <w:rPr>
          <w:spacing w:val="24"/>
        </w:rPr>
        <w:t xml:space="preserve"> </w:t>
      </w:r>
      <w:r w:rsidRPr="001B5062">
        <w:t>responses</w:t>
      </w:r>
      <w:r w:rsidRPr="001B5062">
        <w:rPr>
          <w:spacing w:val="24"/>
        </w:rPr>
        <w:t xml:space="preserve"> </w:t>
      </w:r>
      <w:r w:rsidRPr="001B5062">
        <w:t>to</w:t>
      </w:r>
      <w:r w:rsidRPr="001B5062">
        <w:rPr>
          <w:spacing w:val="23"/>
        </w:rPr>
        <w:t xml:space="preserve"> </w:t>
      </w:r>
      <w:r w:rsidRPr="001B5062">
        <w:t>the</w:t>
      </w:r>
      <w:r w:rsidRPr="001B5062">
        <w:rPr>
          <w:spacing w:val="25"/>
        </w:rPr>
        <w:t xml:space="preserve"> </w:t>
      </w:r>
      <w:r w:rsidRPr="001B5062">
        <w:t>consultation</w:t>
      </w:r>
      <w:r w:rsidRPr="001B5062">
        <w:rPr>
          <w:spacing w:val="26"/>
        </w:rPr>
        <w:t xml:space="preserve"> </w:t>
      </w:r>
      <w:r w:rsidRPr="001B5062">
        <w:t>which</w:t>
      </w:r>
      <w:r w:rsidRPr="001B5062">
        <w:rPr>
          <w:spacing w:val="25"/>
        </w:rPr>
        <w:t xml:space="preserve"> </w:t>
      </w:r>
      <w:r w:rsidRPr="001B5062">
        <w:t>is</w:t>
      </w:r>
      <w:r w:rsidRPr="001B5062">
        <w:rPr>
          <w:spacing w:val="24"/>
        </w:rPr>
        <w:t xml:space="preserve"> </w:t>
      </w:r>
      <w:r w:rsidRPr="001B5062">
        <w:t>a</w:t>
      </w:r>
      <w:r w:rsidRPr="001B5062">
        <w:rPr>
          <w:spacing w:val="21"/>
        </w:rPr>
        <w:t xml:space="preserve"> </w:t>
      </w:r>
      <w:r w:rsidRPr="001B5062">
        <w:t>slight</w:t>
      </w:r>
      <w:r w:rsidRPr="001B5062">
        <w:rPr>
          <w:spacing w:val="25"/>
        </w:rPr>
        <w:t xml:space="preserve"> </w:t>
      </w:r>
      <w:r w:rsidRPr="001B5062">
        <w:t>increase</w:t>
      </w:r>
      <w:r w:rsidR="007D3797" w:rsidRPr="001B5062">
        <w:t xml:space="preserve"> </w:t>
      </w:r>
      <w:r w:rsidR="005768FA" w:rsidRPr="001B5062">
        <w:t xml:space="preserve">on the 2021 consultation when no </w:t>
      </w:r>
      <w:r w:rsidRPr="001B5062">
        <w:t>responses</w:t>
      </w:r>
      <w:r w:rsidRPr="001B5062">
        <w:rPr>
          <w:spacing w:val="24"/>
        </w:rPr>
        <w:t xml:space="preserve"> </w:t>
      </w:r>
      <w:r w:rsidR="005768FA" w:rsidRPr="001B5062">
        <w:rPr>
          <w:spacing w:val="24"/>
        </w:rPr>
        <w:t xml:space="preserve">were </w:t>
      </w:r>
      <w:r w:rsidRPr="001B5062">
        <w:t>received</w:t>
      </w:r>
      <w:bookmarkEnd w:id="2"/>
      <w:r w:rsidRPr="001B5062">
        <w:t>. The comment</w:t>
      </w:r>
      <w:r w:rsidR="001B5062" w:rsidRPr="001B5062">
        <w:t>s</w:t>
      </w:r>
      <w:r w:rsidRPr="001B5062">
        <w:t xml:space="preserve"> are set out below.</w:t>
      </w:r>
    </w:p>
    <w:p w14:paraId="647CDAF7" w14:textId="77777777" w:rsidR="00D53127" w:rsidRPr="00FE1DA2" w:rsidRDefault="00D53127" w:rsidP="00D53127">
      <w:pPr>
        <w:pStyle w:val="BodyText"/>
      </w:pPr>
    </w:p>
    <w:tbl>
      <w:tblPr>
        <w:tblStyle w:val="TableGrid"/>
        <w:tblW w:w="0" w:type="auto"/>
        <w:tblLook w:val="04A0" w:firstRow="1" w:lastRow="0" w:firstColumn="1" w:lastColumn="0" w:noHBand="0" w:noVBand="1"/>
      </w:tblPr>
      <w:tblGrid>
        <w:gridCol w:w="9016"/>
      </w:tblGrid>
      <w:tr w:rsidR="00D53127" w14:paraId="24FD82DD" w14:textId="77777777" w:rsidTr="00D53127">
        <w:tc>
          <w:tcPr>
            <w:tcW w:w="9016" w:type="dxa"/>
            <w:shd w:val="clear" w:color="auto" w:fill="339933"/>
          </w:tcPr>
          <w:p w14:paraId="250DFF07" w14:textId="07083B8B" w:rsidR="00D53127" w:rsidRPr="00D53127" w:rsidRDefault="00D53127">
            <w:pPr>
              <w:rPr>
                <w:b/>
                <w:bCs/>
                <w:color w:val="FFFFFF" w:themeColor="background1"/>
              </w:rPr>
            </w:pPr>
            <w:r>
              <w:rPr>
                <w:b/>
                <w:bCs/>
                <w:color w:val="FFFFFF" w:themeColor="background1"/>
              </w:rPr>
              <w:t>RESPONSE</w:t>
            </w:r>
          </w:p>
        </w:tc>
      </w:tr>
      <w:tr w:rsidR="00D53127" w14:paraId="7F82C854" w14:textId="77777777" w:rsidTr="00D53127">
        <w:tc>
          <w:tcPr>
            <w:tcW w:w="9016" w:type="dxa"/>
          </w:tcPr>
          <w:p w14:paraId="3606E8E8" w14:textId="77777777" w:rsidR="00D53127" w:rsidRDefault="00B43C10">
            <w:pPr>
              <w:rPr>
                <w:b/>
                <w:bCs/>
              </w:rPr>
            </w:pPr>
            <w:r w:rsidRPr="00B43C10">
              <w:rPr>
                <w:b/>
                <w:bCs/>
              </w:rPr>
              <w:t>Licence Holder</w:t>
            </w:r>
          </w:p>
          <w:p w14:paraId="2C923187" w14:textId="73E07DBF" w:rsidR="00B43C10" w:rsidRDefault="00B43C10" w:rsidP="00B43C10">
            <w:r w:rsidRPr="00B43C10">
              <w:t>On behalf of the Jenningsbet group of companies that operate within the Borough, we have no comments to make.</w:t>
            </w:r>
          </w:p>
        </w:tc>
      </w:tr>
      <w:tr w:rsidR="00D53127" w14:paraId="222EB4AE" w14:textId="77777777" w:rsidTr="00D53127">
        <w:tc>
          <w:tcPr>
            <w:tcW w:w="9016" w:type="dxa"/>
          </w:tcPr>
          <w:p w14:paraId="283089CE" w14:textId="77777777" w:rsidR="00D53127" w:rsidRPr="005E1511" w:rsidRDefault="005E1511" w:rsidP="005E1511">
            <w:pPr>
              <w:jc w:val="both"/>
              <w:rPr>
                <w:rFonts w:cstheme="minorHAnsi"/>
                <w:b/>
                <w:bCs/>
              </w:rPr>
            </w:pPr>
            <w:r w:rsidRPr="005E1511">
              <w:rPr>
                <w:rFonts w:cstheme="minorHAnsi"/>
                <w:b/>
                <w:bCs/>
              </w:rPr>
              <w:t>GamCare</w:t>
            </w:r>
          </w:p>
          <w:p w14:paraId="69235D61" w14:textId="77777777" w:rsidR="005E1511" w:rsidRPr="005E1511" w:rsidRDefault="005E1511" w:rsidP="005E1511">
            <w:pPr>
              <w:pStyle w:val="paragraph"/>
              <w:numPr>
                <w:ilvl w:val="0"/>
                <w:numId w:val="4"/>
              </w:numPr>
              <w:spacing w:before="0" w:after="0"/>
              <w:jc w:val="both"/>
              <w:textAlignment w:val="baseline"/>
              <w:rPr>
                <w:rFonts w:asciiTheme="minorHAnsi" w:hAnsiTheme="minorHAnsi" w:cstheme="minorHAnsi"/>
              </w:rPr>
            </w:pPr>
            <w:r w:rsidRPr="005E1511">
              <w:rPr>
                <w:rStyle w:val="normaltextrun"/>
                <w:rFonts w:asciiTheme="minorHAnsi" w:eastAsiaTheme="majorEastAsia" w:hAnsiTheme="minorHAnsi" w:cstheme="minorHAnsi"/>
              </w:rPr>
              <w:t>We welcome the position Bracknell Forest Council is taking to go beyond the mandatory and default conditions of the Gambling Act 2005 in its statement of principles. </w:t>
            </w:r>
            <w:r w:rsidRPr="005E1511">
              <w:rPr>
                <w:rStyle w:val="eop"/>
                <w:rFonts w:asciiTheme="minorHAnsi" w:eastAsiaTheme="majorEastAsia" w:hAnsiTheme="minorHAnsi" w:cstheme="minorHAnsi"/>
              </w:rPr>
              <w:t> </w:t>
            </w:r>
          </w:p>
          <w:p w14:paraId="0CC23F43" w14:textId="77777777" w:rsidR="005E1511" w:rsidRPr="005E1511" w:rsidRDefault="005E1511" w:rsidP="005E1511">
            <w:pPr>
              <w:pStyle w:val="paragraph"/>
              <w:numPr>
                <w:ilvl w:val="0"/>
                <w:numId w:val="4"/>
              </w:numPr>
              <w:tabs>
                <w:tab w:val="left" w:pos="0"/>
              </w:tabs>
              <w:spacing w:before="0" w:after="0"/>
              <w:jc w:val="both"/>
              <w:textAlignment w:val="baseline"/>
              <w:rPr>
                <w:rFonts w:asciiTheme="minorHAnsi" w:hAnsiTheme="minorHAnsi" w:cstheme="minorHAnsi"/>
              </w:rPr>
            </w:pPr>
            <w:r w:rsidRPr="005E1511">
              <w:rPr>
                <w:rStyle w:val="normaltextrun"/>
                <w:rFonts w:asciiTheme="minorHAnsi" w:eastAsiaTheme="majorEastAsia" w:hAnsiTheme="minorHAnsi" w:cstheme="minorHAnsi"/>
              </w:rPr>
              <w:t>Local authorities can play a greater role in reducing gambling harm, particularly for those of our clients who experience harm in land-based gambling venues, due to council’s licensing responsibilities. </w:t>
            </w:r>
            <w:r w:rsidRPr="005E1511">
              <w:rPr>
                <w:rStyle w:val="eop"/>
                <w:rFonts w:asciiTheme="minorHAnsi" w:eastAsiaTheme="majorEastAsia" w:hAnsiTheme="minorHAnsi" w:cstheme="minorHAnsi"/>
              </w:rPr>
              <w:t> </w:t>
            </w:r>
          </w:p>
          <w:p w14:paraId="1301ABD5" w14:textId="77777777" w:rsidR="005E1511" w:rsidRPr="005E1511" w:rsidRDefault="005E1511" w:rsidP="005E1511">
            <w:pPr>
              <w:pStyle w:val="paragraph"/>
              <w:numPr>
                <w:ilvl w:val="0"/>
                <w:numId w:val="4"/>
              </w:numPr>
              <w:spacing w:before="0" w:after="0"/>
              <w:jc w:val="both"/>
              <w:textAlignment w:val="baseline"/>
              <w:rPr>
                <w:rFonts w:asciiTheme="minorHAnsi" w:hAnsiTheme="minorHAnsi" w:cstheme="minorHAnsi"/>
              </w:rPr>
            </w:pPr>
            <w:r w:rsidRPr="005E1511">
              <w:rPr>
                <w:rStyle w:val="eop"/>
                <w:rFonts w:asciiTheme="minorHAnsi" w:eastAsiaTheme="majorEastAsia" w:hAnsiTheme="minorHAnsi" w:cstheme="minorHAnsi"/>
              </w:rPr>
              <w:t xml:space="preserve">It is vital that </w:t>
            </w:r>
            <w:r w:rsidRPr="005E1511">
              <w:rPr>
                <w:rStyle w:val="normaltextrun"/>
                <w:rFonts w:asciiTheme="minorHAnsi" w:eastAsiaTheme="majorEastAsia" w:hAnsiTheme="minorHAnsi" w:cstheme="minorHAnsi"/>
              </w:rPr>
              <w:t xml:space="preserve">Bracknell Forest </w:t>
            </w:r>
            <w:r w:rsidRPr="005E1511">
              <w:rPr>
                <w:rStyle w:val="eop"/>
                <w:rFonts w:asciiTheme="minorHAnsi" w:eastAsiaTheme="majorEastAsia" w:hAnsiTheme="minorHAnsi" w:cstheme="minorHAnsi"/>
              </w:rPr>
              <w:t xml:space="preserve">Council develops a local picture of the level of gambling harms, </w:t>
            </w:r>
            <w:proofErr w:type="gramStart"/>
            <w:r w:rsidRPr="005E1511">
              <w:rPr>
                <w:rStyle w:val="eop"/>
                <w:rFonts w:asciiTheme="minorHAnsi" w:eastAsiaTheme="majorEastAsia" w:hAnsiTheme="minorHAnsi" w:cstheme="minorHAnsi"/>
              </w:rPr>
              <w:t>in order to</w:t>
            </w:r>
            <w:proofErr w:type="gramEnd"/>
            <w:r w:rsidRPr="005E1511">
              <w:rPr>
                <w:rStyle w:val="eop"/>
                <w:rFonts w:asciiTheme="minorHAnsi" w:eastAsiaTheme="majorEastAsia" w:hAnsiTheme="minorHAnsi" w:cstheme="minorHAnsi"/>
              </w:rPr>
              <w:t xml:space="preserve"> best target resources and tailor service provision. This could be achieved by gathering data from the National Gambling Helpline, as well as those already providing services in the area. </w:t>
            </w:r>
          </w:p>
          <w:p w14:paraId="4229D096" w14:textId="77777777" w:rsidR="005E1511" w:rsidRPr="005E1511" w:rsidRDefault="005E1511" w:rsidP="005E1511">
            <w:pPr>
              <w:pStyle w:val="paragraph"/>
              <w:numPr>
                <w:ilvl w:val="0"/>
                <w:numId w:val="4"/>
              </w:numPr>
              <w:spacing w:before="0" w:after="0"/>
              <w:jc w:val="both"/>
              <w:textAlignment w:val="baseline"/>
              <w:rPr>
                <w:rStyle w:val="eop"/>
                <w:rFonts w:asciiTheme="minorHAnsi" w:eastAsiaTheme="majorEastAsia" w:hAnsiTheme="minorHAnsi" w:cstheme="minorHAnsi"/>
              </w:rPr>
            </w:pPr>
            <w:r w:rsidRPr="005E1511">
              <w:rPr>
                <w:rStyle w:val="normaltextrun"/>
                <w:rFonts w:asciiTheme="minorHAnsi" w:eastAsiaTheme="majorEastAsia" w:hAnsiTheme="minorHAnsi" w:cstheme="minorHAnsi"/>
              </w:rPr>
              <w:t xml:space="preserve">Building on the proactive approach the council is already taking, we would like to see Bracknell Forest </w:t>
            </w:r>
            <w:r w:rsidRPr="005E1511">
              <w:rPr>
                <w:rStyle w:val="eop"/>
                <w:rFonts w:asciiTheme="minorHAnsi" w:eastAsiaTheme="majorEastAsia" w:hAnsiTheme="minorHAnsi" w:cstheme="minorHAnsi"/>
              </w:rPr>
              <w:t xml:space="preserve">Council </w:t>
            </w:r>
            <w:r w:rsidRPr="005E1511">
              <w:rPr>
                <w:rStyle w:val="normaltextrun"/>
                <w:rFonts w:asciiTheme="minorHAnsi" w:eastAsiaTheme="majorEastAsia" w:hAnsiTheme="minorHAnsi" w:cstheme="minorHAnsi"/>
              </w:rPr>
              <w:t xml:space="preserve">commit in its statement of principles </w:t>
            </w:r>
            <w:r w:rsidRPr="005E1511">
              <w:rPr>
                <w:rStyle w:val="normaltextrun"/>
                <w:rFonts w:asciiTheme="minorHAnsi" w:eastAsiaTheme="majorEastAsia" w:hAnsiTheme="minorHAnsi" w:cstheme="minorHAnsi"/>
                <w:bCs/>
              </w:rPr>
              <w:t>to a public health approach</w:t>
            </w:r>
            <w:r w:rsidRPr="005E1511">
              <w:rPr>
                <w:rStyle w:val="normaltextrun"/>
                <w:rFonts w:asciiTheme="minorHAnsi" w:eastAsiaTheme="majorEastAsia" w:hAnsiTheme="minorHAnsi" w:cstheme="minorHAnsi"/>
              </w:rPr>
              <w:t xml:space="preserve"> to gambling. </w:t>
            </w:r>
            <w:r w:rsidRPr="005E1511">
              <w:rPr>
                <w:rStyle w:val="eop"/>
                <w:rFonts w:asciiTheme="minorHAnsi" w:eastAsiaTheme="majorEastAsia" w:hAnsiTheme="minorHAnsi" w:cstheme="minorHAnsi"/>
              </w:rPr>
              <w:t> </w:t>
            </w:r>
          </w:p>
          <w:p w14:paraId="5933EBE6" w14:textId="77777777" w:rsidR="005E1511" w:rsidRPr="005E1511" w:rsidRDefault="005E1511" w:rsidP="005E1511">
            <w:pPr>
              <w:pStyle w:val="paragraph"/>
              <w:numPr>
                <w:ilvl w:val="0"/>
                <w:numId w:val="4"/>
              </w:numPr>
              <w:tabs>
                <w:tab w:val="left" w:pos="0"/>
              </w:tabs>
              <w:spacing w:before="0" w:after="0"/>
              <w:jc w:val="both"/>
              <w:textAlignment w:val="baseline"/>
              <w:rPr>
                <w:rFonts w:asciiTheme="minorHAnsi" w:hAnsiTheme="minorHAnsi" w:cstheme="minorHAnsi"/>
              </w:rPr>
            </w:pPr>
            <w:r w:rsidRPr="005E1511">
              <w:rPr>
                <w:rStyle w:val="normaltextrun"/>
                <w:rFonts w:asciiTheme="minorHAnsi" w:eastAsiaTheme="majorEastAsia" w:hAnsiTheme="minorHAnsi" w:cstheme="minorHAnsi"/>
              </w:rPr>
              <w:t>This commitment should include training frontline and primary care staff to recognise the signs of gambling harm and develop referral pathways to the National Gambling Helpline or local treatment providers. GamCare has worked with Haringey Council to implement a similar system, that has received widespread support. </w:t>
            </w:r>
            <w:r w:rsidRPr="005E1511">
              <w:rPr>
                <w:rStyle w:val="eop"/>
                <w:rFonts w:asciiTheme="minorHAnsi" w:eastAsiaTheme="majorEastAsia" w:hAnsiTheme="minorHAnsi" w:cstheme="minorHAnsi"/>
              </w:rPr>
              <w:t> </w:t>
            </w:r>
          </w:p>
          <w:p w14:paraId="37EDB57D" w14:textId="77777777" w:rsidR="005E1511" w:rsidRPr="005E1511" w:rsidRDefault="005E1511" w:rsidP="005E1511">
            <w:pPr>
              <w:pStyle w:val="paragraph"/>
              <w:numPr>
                <w:ilvl w:val="0"/>
                <w:numId w:val="4"/>
              </w:numPr>
              <w:spacing w:before="0" w:after="0"/>
              <w:jc w:val="both"/>
              <w:textAlignment w:val="baseline"/>
              <w:rPr>
                <w:rStyle w:val="eop"/>
                <w:rFonts w:asciiTheme="minorHAnsi" w:eastAsiaTheme="majorEastAsia" w:hAnsiTheme="minorHAnsi" w:cstheme="minorHAnsi"/>
              </w:rPr>
            </w:pPr>
            <w:r w:rsidRPr="005E1511">
              <w:rPr>
                <w:rStyle w:val="normaltextrun"/>
                <w:rFonts w:asciiTheme="minorHAnsi" w:eastAsiaTheme="majorEastAsia" w:hAnsiTheme="minorHAnsi" w:cstheme="minorHAnsi"/>
              </w:rPr>
              <w:t xml:space="preserve">In the absence of Cumulative Impact Assessments as a method by which the “aim to permit” approach can be challenged, Bracknell Forest Council should continue to pursue a </w:t>
            </w:r>
            <w:hyperlink r:id="rId9">
              <w:r w:rsidRPr="005E1511">
                <w:rPr>
                  <w:rStyle w:val="normaltextrun"/>
                  <w:rFonts w:asciiTheme="minorHAnsi" w:eastAsiaTheme="majorEastAsia" w:hAnsiTheme="minorHAnsi" w:cstheme="minorHAnsi"/>
                  <w:color w:val="0563C1"/>
                  <w:u w:val="single"/>
                </w:rPr>
                <w:t>Local Area Profile</w:t>
              </w:r>
            </w:hyperlink>
            <w:r w:rsidRPr="005E1511">
              <w:rPr>
                <w:rStyle w:val="normaltextrun"/>
                <w:rFonts w:asciiTheme="minorHAnsi" w:eastAsiaTheme="majorEastAsia" w:hAnsiTheme="minorHAnsi" w:cstheme="minorHAnsi"/>
              </w:rPr>
              <w:t xml:space="preserve">  approach that specifically analyses gambling risk, and use this data as a basis from which to scrutinise and possibly oppose a licensing application. </w:t>
            </w:r>
            <w:r w:rsidRPr="005E1511">
              <w:rPr>
                <w:rStyle w:val="eop"/>
                <w:rFonts w:asciiTheme="minorHAnsi" w:eastAsiaTheme="majorEastAsia" w:hAnsiTheme="minorHAnsi" w:cstheme="minorHAnsi"/>
              </w:rPr>
              <w:t> </w:t>
            </w:r>
          </w:p>
          <w:p w14:paraId="574C38DF" w14:textId="0747ADD3" w:rsidR="005E1511" w:rsidRPr="005E1511" w:rsidRDefault="005E1511" w:rsidP="005E1511">
            <w:pPr>
              <w:pStyle w:val="paragraph"/>
              <w:numPr>
                <w:ilvl w:val="0"/>
                <w:numId w:val="4"/>
              </w:numPr>
              <w:spacing w:before="0" w:after="0"/>
              <w:jc w:val="both"/>
              <w:textAlignment w:val="baseline"/>
              <w:rPr>
                <w:rFonts w:asciiTheme="minorHAnsi" w:hAnsiTheme="minorHAnsi" w:cstheme="minorHAnsi"/>
              </w:rPr>
            </w:pPr>
            <w:r w:rsidRPr="005E1511">
              <w:rPr>
                <w:rStyle w:val="normaltextrun"/>
                <w:rFonts w:asciiTheme="minorHAnsi" w:eastAsiaTheme="majorEastAsia" w:hAnsiTheme="minorHAnsi" w:cstheme="minorHAnsi"/>
              </w:rPr>
              <w:t xml:space="preserve">The changes to Bracknell Forest </w:t>
            </w:r>
            <w:r w:rsidRPr="005E1511">
              <w:rPr>
                <w:rStyle w:val="eop"/>
                <w:rFonts w:asciiTheme="minorHAnsi" w:eastAsiaTheme="majorEastAsia" w:hAnsiTheme="minorHAnsi" w:cstheme="minorHAnsi"/>
              </w:rPr>
              <w:t xml:space="preserve">Council’s </w:t>
            </w:r>
            <w:r w:rsidRPr="005E1511">
              <w:rPr>
                <w:rStyle w:val="normaltextrun"/>
                <w:rFonts w:asciiTheme="minorHAnsi" w:eastAsiaTheme="majorEastAsia" w:hAnsiTheme="minorHAnsi" w:cstheme="minorHAnsi"/>
              </w:rPr>
              <w:t>statement of principles should be viewed in the context of the Gambling Act Review and subsequent process of white paper consultations, so take account of the rapidly changing regulatory environment.</w:t>
            </w:r>
            <w:r w:rsidRPr="005E1511">
              <w:rPr>
                <w:rStyle w:val="eop"/>
                <w:rFonts w:asciiTheme="minorHAnsi" w:eastAsiaTheme="majorEastAsia" w:hAnsiTheme="minorHAnsi" w:cstheme="minorHAnsi"/>
              </w:rPr>
              <w:t> </w:t>
            </w:r>
          </w:p>
        </w:tc>
      </w:tr>
    </w:tbl>
    <w:p w14:paraId="04914177" w14:textId="77777777" w:rsidR="00AE2CE2" w:rsidRDefault="00AE2CE2">
      <w:pPr>
        <w:rPr>
          <w:b/>
        </w:rPr>
      </w:pPr>
    </w:p>
    <w:p w14:paraId="53891BBD" w14:textId="01145BD6" w:rsidR="00F14E3A" w:rsidRDefault="00F14E3A">
      <w:pPr>
        <w:rPr>
          <w:b/>
        </w:rPr>
      </w:pPr>
      <w:r>
        <w:rPr>
          <w:b/>
        </w:rPr>
        <w:t xml:space="preserve">What </w:t>
      </w:r>
      <w:r w:rsidR="00D53127">
        <w:rPr>
          <w:b/>
        </w:rPr>
        <w:t>We Are Proposing To Do</w:t>
      </w:r>
    </w:p>
    <w:p w14:paraId="4DFA13A0" w14:textId="16C00F21" w:rsidR="00F14E3A" w:rsidRDefault="001B5062" w:rsidP="00F14E3A">
      <w:pPr>
        <w:numPr>
          <w:ilvl w:val="1"/>
          <w:numId w:val="0"/>
        </w:numPr>
        <w:spacing w:before="240" w:after="240"/>
        <w:jc w:val="both"/>
        <w:outlineLvl w:val="1"/>
        <w:rPr>
          <w:rFonts w:asciiTheme="majorHAnsi" w:eastAsiaTheme="majorEastAsia" w:hAnsiTheme="majorHAnsi"/>
          <w:bCs/>
          <w:iCs/>
          <w:szCs w:val="28"/>
        </w:rPr>
      </w:pPr>
      <w:r>
        <w:rPr>
          <w:rFonts w:asciiTheme="majorHAnsi" w:eastAsiaTheme="majorEastAsia" w:hAnsiTheme="majorHAnsi"/>
          <w:bCs/>
          <w:iCs/>
          <w:szCs w:val="28"/>
        </w:rPr>
        <w:t xml:space="preserve">Officers will now consider the comments received and make recommendations based on the comments to the Licensing and Safety Committee. </w:t>
      </w:r>
      <w:r w:rsidR="00F14E3A" w:rsidRPr="00F14E3A">
        <w:rPr>
          <w:rFonts w:asciiTheme="majorHAnsi" w:eastAsiaTheme="majorEastAsia" w:hAnsiTheme="majorHAnsi"/>
          <w:bCs/>
          <w:iCs/>
          <w:szCs w:val="28"/>
        </w:rPr>
        <w:t>Members of the Licensing</w:t>
      </w:r>
      <w:r w:rsidR="00AE2CE2">
        <w:rPr>
          <w:rFonts w:asciiTheme="majorHAnsi" w:eastAsiaTheme="majorEastAsia" w:hAnsiTheme="majorHAnsi"/>
          <w:bCs/>
          <w:iCs/>
          <w:szCs w:val="28"/>
        </w:rPr>
        <w:t xml:space="preserve"> </w:t>
      </w:r>
      <w:r w:rsidR="00AE2CE2">
        <w:rPr>
          <w:rFonts w:asciiTheme="majorHAnsi" w:eastAsiaTheme="majorEastAsia" w:hAnsiTheme="majorHAnsi"/>
          <w:bCs/>
          <w:iCs/>
          <w:szCs w:val="28"/>
        </w:rPr>
        <w:lastRenderedPageBreak/>
        <w:t xml:space="preserve">and Safety </w:t>
      </w:r>
      <w:r w:rsidR="00AE2CE2" w:rsidRPr="00F14E3A">
        <w:rPr>
          <w:rFonts w:asciiTheme="majorHAnsi" w:eastAsiaTheme="majorEastAsia" w:hAnsiTheme="majorHAnsi"/>
          <w:bCs/>
          <w:iCs/>
          <w:szCs w:val="28"/>
        </w:rPr>
        <w:t>Committee</w:t>
      </w:r>
      <w:r w:rsidR="00F14E3A" w:rsidRPr="00F14E3A">
        <w:rPr>
          <w:rFonts w:asciiTheme="majorHAnsi" w:eastAsiaTheme="majorEastAsia" w:hAnsiTheme="majorHAnsi"/>
          <w:bCs/>
          <w:iCs/>
          <w:szCs w:val="28"/>
        </w:rPr>
        <w:t xml:space="preserve"> </w:t>
      </w:r>
      <w:r w:rsidR="00F14E3A">
        <w:rPr>
          <w:rFonts w:asciiTheme="majorHAnsi" w:eastAsiaTheme="majorEastAsia" w:hAnsiTheme="majorHAnsi"/>
          <w:bCs/>
          <w:iCs/>
          <w:szCs w:val="28"/>
        </w:rPr>
        <w:t xml:space="preserve">will </w:t>
      </w:r>
      <w:r w:rsidR="00F14E3A" w:rsidRPr="00F14E3A">
        <w:rPr>
          <w:rFonts w:asciiTheme="majorHAnsi" w:eastAsiaTheme="majorEastAsia" w:hAnsiTheme="majorHAnsi"/>
          <w:bCs/>
          <w:iCs/>
          <w:szCs w:val="28"/>
        </w:rPr>
        <w:t xml:space="preserve">asked to consider the draft policy </w:t>
      </w:r>
      <w:r>
        <w:rPr>
          <w:rFonts w:asciiTheme="majorHAnsi" w:eastAsiaTheme="majorEastAsia" w:hAnsiTheme="majorHAnsi"/>
          <w:bCs/>
          <w:iCs/>
          <w:szCs w:val="28"/>
        </w:rPr>
        <w:t xml:space="preserve">and any proposed changes </w:t>
      </w:r>
      <w:r w:rsidR="00F14E3A">
        <w:rPr>
          <w:rFonts w:asciiTheme="majorHAnsi" w:eastAsiaTheme="majorEastAsia" w:hAnsiTheme="majorHAnsi"/>
          <w:bCs/>
          <w:iCs/>
          <w:szCs w:val="28"/>
        </w:rPr>
        <w:t xml:space="preserve">at a </w:t>
      </w:r>
      <w:r w:rsidR="00D53127">
        <w:rPr>
          <w:rFonts w:asciiTheme="majorHAnsi" w:eastAsiaTheme="majorEastAsia" w:hAnsiTheme="majorHAnsi"/>
          <w:bCs/>
          <w:iCs/>
          <w:szCs w:val="28"/>
        </w:rPr>
        <w:t xml:space="preserve">special </w:t>
      </w:r>
      <w:r w:rsidR="00F14E3A">
        <w:rPr>
          <w:rFonts w:asciiTheme="majorHAnsi" w:eastAsiaTheme="majorEastAsia" w:hAnsiTheme="majorHAnsi"/>
          <w:bCs/>
          <w:iCs/>
          <w:szCs w:val="28"/>
        </w:rPr>
        <w:t xml:space="preserve">meeting on the </w:t>
      </w:r>
      <w:hyperlink r:id="rId10" w:history="1">
        <w:r w:rsidR="00D53127" w:rsidRPr="006A68FB">
          <w:rPr>
            <w:rStyle w:val="Hyperlink"/>
            <w:rFonts w:asciiTheme="majorHAnsi" w:eastAsiaTheme="majorEastAsia" w:hAnsiTheme="majorHAnsi"/>
            <w:b/>
            <w:iCs/>
            <w:color w:val="00B050"/>
            <w:szCs w:val="28"/>
          </w:rPr>
          <w:t>19 December 2024</w:t>
        </w:r>
      </w:hyperlink>
    </w:p>
    <w:p w14:paraId="0DCFC588" w14:textId="1770037B" w:rsidR="00F14E3A" w:rsidRDefault="00F14E3A" w:rsidP="00F14E3A">
      <w:pPr>
        <w:numPr>
          <w:ilvl w:val="1"/>
          <w:numId w:val="0"/>
        </w:numPr>
        <w:spacing w:before="240" w:after="240"/>
        <w:jc w:val="both"/>
        <w:outlineLvl w:val="1"/>
        <w:rPr>
          <w:rFonts w:asciiTheme="majorHAnsi" w:eastAsiaTheme="majorEastAsia" w:hAnsiTheme="majorHAnsi"/>
          <w:bCs/>
          <w:iCs/>
          <w:szCs w:val="28"/>
        </w:rPr>
      </w:pPr>
      <w:r>
        <w:rPr>
          <w:rFonts w:asciiTheme="majorHAnsi" w:eastAsiaTheme="majorEastAsia" w:hAnsiTheme="majorHAnsi"/>
          <w:bCs/>
          <w:iCs/>
          <w:szCs w:val="28"/>
        </w:rPr>
        <w:t xml:space="preserve">The Licensing </w:t>
      </w:r>
      <w:r w:rsidR="00AE2CE2">
        <w:rPr>
          <w:rFonts w:asciiTheme="majorHAnsi" w:eastAsiaTheme="majorEastAsia" w:hAnsiTheme="majorHAnsi"/>
          <w:bCs/>
          <w:iCs/>
          <w:szCs w:val="28"/>
        </w:rPr>
        <w:t xml:space="preserve">and Safety </w:t>
      </w:r>
      <w:r>
        <w:rPr>
          <w:rFonts w:asciiTheme="majorHAnsi" w:eastAsiaTheme="majorEastAsia" w:hAnsiTheme="majorHAnsi"/>
          <w:bCs/>
          <w:iCs/>
          <w:szCs w:val="28"/>
        </w:rPr>
        <w:t xml:space="preserve">Committee will then recommend that the </w:t>
      </w:r>
      <w:r w:rsidRPr="00F14E3A">
        <w:rPr>
          <w:rFonts w:asciiTheme="majorHAnsi" w:eastAsiaTheme="majorEastAsia" w:hAnsiTheme="majorHAnsi"/>
          <w:bCs/>
          <w:iCs/>
          <w:szCs w:val="28"/>
        </w:rPr>
        <w:t>draft policy</w:t>
      </w:r>
      <w:r>
        <w:rPr>
          <w:rFonts w:asciiTheme="majorHAnsi" w:eastAsiaTheme="majorEastAsia" w:hAnsiTheme="majorHAnsi"/>
          <w:bCs/>
          <w:iCs/>
          <w:szCs w:val="28"/>
        </w:rPr>
        <w:t>, subject to any amendments agreed at the meeting,</w:t>
      </w:r>
      <w:r w:rsidRPr="00F14E3A">
        <w:rPr>
          <w:rFonts w:asciiTheme="majorHAnsi" w:eastAsiaTheme="majorEastAsia" w:hAnsiTheme="majorHAnsi"/>
          <w:bCs/>
          <w:iCs/>
          <w:szCs w:val="28"/>
        </w:rPr>
        <w:t xml:space="preserve"> be recommended to Council for approval at the </w:t>
      </w:r>
      <w:r w:rsidR="00AE2CE2">
        <w:rPr>
          <w:rFonts w:asciiTheme="majorHAnsi" w:eastAsiaTheme="majorEastAsia" w:hAnsiTheme="majorHAnsi"/>
          <w:bCs/>
          <w:iCs/>
          <w:szCs w:val="28"/>
        </w:rPr>
        <w:t xml:space="preserve"> </w:t>
      </w:r>
      <w:hyperlink r:id="rId11" w:history="1">
        <w:r w:rsidR="006A68FB" w:rsidRPr="006A68FB">
          <w:rPr>
            <w:rStyle w:val="Hyperlink"/>
            <w:rFonts w:asciiTheme="majorHAnsi" w:eastAsiaTheme="majorEastAsia" w:hAnsiTheme="majorHAnsi"/>
            <w:b/>
            <w:iCs/>
            <w:color w:val="00B050"/>
            <w:szCs w:val="28"/>
          </w:rPr>
          <w:t>08 January 2025</w:t>
        </w:r>
      </w:hyperlink>
      <w:r w:rsidR="00AC3B9D">
        <w:rPr>
          <w:rFonts w:asciiTheme="majorHAnsi" w:eastAsiaTheme="majorEastAsia" w:hAnsiTheme="majorHAnsi"/>
          <w:bCs/>
          <w:iCs/>
          <w:szCs w:val="28"/>
        </w:rPr>
        <w:t xml:space="preserve"> meeting.</w:t>
      </w:r>
    </w:p>
    <w:p w14:paraId="76D9B52A" w14:textId="3B9FC954" w:rsidR="00AC3B9D" w:rsidRDefault="00AC3B9D" w:rsidP="00F14E3A">
      <w:pPr>
        <w:numPr>
          <w:ilvl w:val="1"/>
          <w:numId w:val="0"/>
        </w:numPr>
        <w:spacing w:before="240" w:after="240"/>
        <w:jc w:val="both"/>
        <w:outlineLvl w:val="1"/>
        <w:rPr>
          <w:rFonts w:asciiTheme="majorHAnsi" w:eastAsiaTheme="majorEastAsia" w:hAnsiTheme="majorHAnsi"/>
          <w:bCs/>
          <w:iCs/>
          <w:szCs w:val="28"/>
        </w:rPr>
      </w:pPr>
      <w:r>
        <w:rPr>
          <w:rFonts w:asciiTheme="majorHAnsi" w:eastAsiaTheme="majorEastAsia" w:hAnsiTheme="majorHAnsi"/>
          <w:bCs/>
          <w:iCs/>
          <w:szCs w:val="28"/>
        </w:rPr>
        <w:t>Once approved the revised policy will be published before the end of January 202</w:t>
      </w:r>
      <w:r w:rsidR="006A68FB">
        <w:rPr>
          <w:rFonts w:asciiTheme="majorHAnsi" w:eastAsiaTheme="majorEastAsia" w:hAnsiTheme="majorHAnsi"/>
          <w:bCs/>
          <w:iCs/>
          <w:szCs w:val="28"/>
        </w:rPr>
        <w:t>5</w:t>
      </w:r>
      <w:r>
        <w:rPr>
          <w:rFonts w:asciiTheme="majorHAnsi" w:eastAsiaTheme="majorEastAsia" w:hAnsiTheme="majorHAnsi"/>
          <w:bCs/>
          <w:iCs/>
          <w:szCs w:val="28"/>
        </w:rPr>
        <w:t>.</w:t>
      </w:r>
      <w:r w:rsidR="006A68FB">
        <w:rPr>
          <w:rFonts w:asciiTheme="majorHAnsi" w:eastAsiaTheme="majorEastAsia" w:hAnsiTheme="majorHAnsi"/>
          <w:bCs/>
          <w:iCs/>
          <w:szCs w:val="28"/>
        </w:rPr>
        <w:t xml:space="preserve"> </w:t>
      </w:r>
    </w:p>
    <w:p w14:paraId="19080665" w14:textId="77777777" w:rsidR="00AC3B9D" w:rsidRPr="00F14E3A" w:rsidRDefault="00AC3B9D" w:rsidP="00F14E3A">
      <w:pPr>
        <w:numPr>
          <w:ilvl w:val="1"/>
          <w:numId w:val="0"/>
        </w:numPr>
        <w:spacing w:before="240" w:after="240"/>
        <w:jc w:val="both"/>
        <w:outlineLvl w:val="1"/>
        <w:rPr>
          <w:rFonts w:asciiTheme="majorHAnsi" w:eastAsiaTheme="majorEastAsia" w:hAnsiTheme="majorHAnsi"/>
          <w:bCs/>
          <w:iCs/>
          <w:szCs w:val="28"/>
        </w:rPr>
      </w:pPr>
    </w:p>
    <w:p w14:paraId="63EA072A" w14:textId="0E822BF6" w:rsidR="00F14E3A" w:rsidRPr="00F14E3A" w:rsidRDefault="001B5062">
      <w:pPr>
        <w:rPr>
          <w:b/>
        </w:rPr>
      </w:pPr>
      <w:r>
        <w:rPr>
          <w:noProof/>
          <w:lang w:eastAsia="en-GB"/>
        </w:rPr>
        <w:drawing>
          <wp:inline distT="0" distB="0" distL="0" distR="0" wp14:anchorId="32DD36E3" wp14:editId="380E263D">
            <wp:extent cx="5731510" cy="828040"/>
            <wp:effectExtent l="0" t="0" r="2540" b="0"/>
            <wp:docPr id="1" name="Picture 1" descr="cid:image005.jpg@01D82277.8D7AD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82277.8D7AD6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31510" cy="828040"/>
                    </a:xfrm>
                    <a:prstGeom prst="rect">
                      <a:avLst/>
                    </a:prstGeom>
                    <a:noFill/>
                    <a:ln>
                      <a:noFill/>
                    </a:ln>
                  </pic:spPr>
                </pic:pic>
              </a:graphicData>
            </a:graphic>
          </wp:inline>
        </w:drawing>
      </w:r>
    </w:p>
    <w:sectPr w:rsidR="00F14E3A" w:rsidRPr="00F14E3A" w:rsidSect="001B5062">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20B4"/>
    <w:multiLevelType w:val="hybridMultilevel"/>
    <w:tmpl w:val="8A161258"/>
    <w:lvl w:ilvl="0" w:tplc="0809000F">
      <w:start w:val="1"/>
      <w:numFmt w:val="decimal"/>
      <w:lvlText w:val="%1."/>
      <w:lvlJc w:val="left"/>
      <w:pPr>
        <w:ind w:left="1200" w:hanging="360"/>
      </w:pPr>
      <w:rPr>
        <w:rFonts w:hint="default"/>
        <w:b w:val="0"/>
        <w:bCs w:val="0"/>
        <w:i w:val="0"/>
        <w:iCs w:val="0"/>
        <w:w w:val="100"/>
        <w:sz w:val="24"/>
        <w:szCs w:val="24"/>
        <w:lang w:val="en-US" w:eastAsia="en-US" w:bidi="ar-SA"/>
      </w:rPr>
    </w:lvl>
    <w:lvl w:ilvl="1" w:tplc="4062400C">
      <w:numFmt w:val="bullet"/>
      <w:lvlText w:val="•"/>
      <w:lvlJc w:val="left"/>
      <w:pPr>
        <w:ind w:left="2571" w:hanging="360"/>
      </w:pPr>
      <w:rPr>
        <w:rFonts w:hint="default"/>
        <w:lang w:val="en-US" w:eastAsia="en-US" w:bidi="ar-SA"/>
      </w:rPr>
    </w:lvl>
    <w:lvl w:ilvl="2" w:tplc="94CE5216">
      <w:numFmt w:val="bullet"/>
      <w:lvlText w:val="•"/>
      <w:lvlJc w:val="left"/>
      <w:pPr>
        <w:ind w:left="3943" w:hanging="360"/>
      </w:pPr>
      <w:rPr>
        <w:rFonts w:hint="default"/>
        <w:lang w:val="en-US" w:eastAsia="en-US" w:bidi="ar-SA"/>
      </w:rPr>
    </w:lvl>
    <w:lvl w:ilvl="3" w:tplc="90E631E0">
      <w:numFmt w:val="bullet"/>
      <w:lvlText w:val="•"/>
      <w:lvlJc w:val="left"/>
      <w:pPr>
        <w:ind w:left="5315" w:hanging="360"/>
      </w:pPr>
      <w:rPr>
        <w:rFonts w:hint="default"/>
        <w:lang w:val="en-US" w:eastAsia="en-US" w:bidi="ar-SA"/>
      </w:rPr>
    </w:lvl>
    <w:lvl w:ilvl="4" w:tplc="AF20D4D4">
      <w:numFmt w:val="bullet"/>
      <w:lvlText w:val="•"/>
      <w:lvlJc w:val="left"/>
      <w:pPr>
        <w:ind w:left="6687" w:hanging="360"/>
      </w:pPr>
      <w:rPr>
        <w:rFonts w:hint="default"/>
        <w:lang w:val="en-US" w:eastAsia="en-US" w:bidi="ar-SA"/>
      </w:rPr>
    </w:lvl>
    <w:lvl w:ilvl="5" w:tplc="62E8CA30">
      <w:numFmt w:val="bullet"/>
      <w:lvlText w:val="•"/>
      <w:lvlJc w:val="left"/>
      <w:pPr>
        <w:ind w:left="8059" w:hanging="360"/>
      </w:pPr>
      <w:rPr>
        <w:rFonts w:hint="default"/>
        <w:lang w:val="en-US" w:eastAsia="en-US" w:bidi="ar-SA"/>
      </w:rPr>
    </w:lvl>
    <w:lvl w:ilvl="6" w:tplc="3DB4A0FA">
      <w:numFmt w:val="bullet"/>
      <w:lvlText w:val="•"/>
      <w:lvlJc w:val="left"/>
      <w:pPr>
        <w:ind w:left="9431" w:hanging="360"/>
      </w:pPr>
      <w:rPr>
        <w:rFonts w:hint="default"/>
        <w:lang w:val="en-US" w:eastAsia="en-US" w:bidi="ar-SA"/>
      </w:rPr>
    </w:lvl>
    <w:lvl w:ilvl="7" w:tplc="25C08FC2">
      <w:numFmt w:val="bullet"/>
      <w:lvlText w:val="•"/>
      <w:lvlJc w:val="left"/>
      <w:pPr>
        <w:ind w:left="10802" w:hanging="360"/>
      </w:pPr>
      <w:rPr>
        <w:rFonts w:hint="default"/>
        <w:lang w:val="en-US" w:eastAsia="en-US" w:bidi="ar-SA"/>
      </w:rPr>
    </w:lvl>
    <w:lvl w:ilvl="8" w:tplc="891EECCC">
      <w:numFmt w:val="bullet"/>
      <w:lvlText w:val="•"/>
      <w:lvlJc w:val="left"/>
      <w:pPr>
        <w:ind w:left="12174" w:hanging="360"/>
      </w:pPr>
      <w:rPr>
        <w:rFonts w:hint="default"/>
        <w:lang w:val="en-US" w:eastAsia="en-US" w:bidi="ar-SA"/>
      </w:rPr>
    </w:lvl>
  </w:abstractNum>
  <w:abstractNum w:abstractNumId="1" w15:restartNumberingAfterBreak="0">
    <w:nsid w:val="261D5255"/>
    <w:multiLevelType w:val="hybridMultilevel"/>
    <w:tmpl w:val="669E1654"/>
    <w:lvl w:ilvl="0" w:tplc="84089CF8">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72EB7FDD"/>
    <w:multiLevelType w:val="multilevel"/>
    <w:tmpl w:val="43A68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DE2256C"/>
    <w:multiLevelType w:val="hybridMultilevel"/>
    <w:tmpl w:val="A5867A70"/>
    <w:lvl w:ilvl="0" w:tplc="C1AA508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455AFEEC">
      <w:numFmt w:val="bullet"/>
      <w:lvlText w:val="•"/>
      <w:lvlJc w:val="left"/>
      <w:pPr>
        <w:ind w:left="2247" w:hanging="360"/>
      </w:pPr>
      <w:rPr>
        <w:rFonts w:hint="default"/>
        <w:lang w:val="en-US" w:eastAsia="en-US" w:bidi="ar-SA"/>
      </w:rPr>
    </w:lvl>
    <w:lvl w:ilvl="2" w:tplc="5B52DB06">
      <w:numFmt w:val="bullet"/>
      <w:lvlText w:val="•"/>
      <w:lvlJc w:val="left"/>
      <w:pPr>
        <w:ind w:left="3655" w:hanging="360"/>
      </w:pPr>
      <w:rPr>
        <w:rFonts w:hint="default"/>
        <w:lang w:val="en-US" w:eastAsia="en-US" w:bidi="ar-SA"/>
      </w:rPr>
    </w:lvl>
    <w:lvl w:ilvl="3" w:tplc="F84E629C">
      <w:numFmt w:val="bullet"/>
      <w:lvlText w:val="•"/>
      <w:lvlJc w:val="left"/>
      <w:pPr>
        <w:ind w:left="5063" w:hanging="360"/>
      </w:pPr>
      <w:rPr>
        <w:rFonts w:hint="default"/>
        <w:lang w:val="en-US" w:eastAsia="en-US" w:bidi="ar-SA"/>
      </w:rPr>
    </w:lvl>
    <w:lvl w:ilvl="4" w:tplc="62606F38">
      <w:numFmt w:val="bullet"/>
      <w:lvlText w:val="•"/>
      <w:lvlJc w:val="left"/>
      <w:pPr>
        <w:ind w:left="6471" w:hanging="360"/>
      </w:pPr>
      <w:rPr>
        <w:rFonts w:hint="default"/>
        <w:lang w:val="en-US" w:eastAsia="en-US" w:bidi="ar-SA"/>
      </w:rPr>
    </w:lvl>
    <w:lvl w:ilvl="5" w:tplc="59DE27E4">
      <w:numFmt w:val="bullet"/>
      <w:lvlText w:val="•"/>
      <w:lvlJc w:val="left"/>
      <w:pPr>
        <w:ind w:left="7879" w:hanging="360"/>
      </w:pPr>
      <w:rPr>
        <w:rFonts w:hint="default"/>
        <w:lang w:val="en-US" w:eastAsia="en-US" w:bidi="ar-SA"/>
      </w:rPr>
    </w:lvl>
    <w:lvl w:ilvl="6" w:tplc="B3984A9E">
      <w:numFmt w:val="bullet"/>
      <w:lvlText w:val="•"/>
      <w:lvlJc w:val="left"/>
      <w:pPr>
        <w:ind w:left="9287" w:hanging="360"/>
      </w:pPr>
      <w:rPr>
        <w:rFonts w:hint="default"/>
        <w:lang w:val="en-US" w:eastAsia="en-US" w:bidi="ar-SA"/>
      </w:rPr>
    </w:lvl>
    <w:lvl w:ilvl="7" w:tplc="1DF8221A">
      <w:numFmt w:val="bullet"/>
      <w:lvlText w:val="•"/>
      <w:lvlJc w:val="left"/>
      <w:pPr>
        <w:ind w:left="10694" w:hanging="360"/>
      </w:pPr>
      <w:rPr>
        <w:rFonts w:hint="default"/>
        <w:lang w:val="en-US" w:eastAsia="en-US" w:bidi="ar-SA"/>
      </w:rPr>
    </w:lvl>
    <w:lvl w:ilvl="8" w:tplc="BB7C1B2A">
      <w:numFmt w:val="bullet"/>
      <w:lvlText w:val="•"/>
      <w:lvlJc w:val="left"/>
      <w:pPr>
        <w:ind w:left="12102" w:hanging="360"/>
      </w:pPr>
      <w:rPr>
        <w:rFonts w:hint="default"/>
        <w:lang w:val="en-US" w:eastAsia="en-US" w:bidi="ar-SA"/>
      </w:rPr>
    </w:lvl>
  </w:abstractNum>
  <w:num w:numId="1" w16cid:durableId="2002417415">
    <w:abstractNumId w:val="1"/>
  </w:num>
  <w:num w:numId="2" w16cid:durableId="616565739">
    <w:abstractNumId w:val="0"/>
  </w:num>
  <w:num w:numId="3" w16cid:durableId="1187015276">
    <w:abstractNumId w:val="3"/>
  </w:num>
  <w:num w:numId="4" w16cid:durableId="31873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8AD"/>
    <w:rsid w:val="00045A30"/>
    <w:rsid w:val="000D3F12"/>
    <w:rsid w:val="001346EA"/>
    <w:rsid w:val="001538AD"/>
    <w:rsid w:val="00190CAF"/>
    <w:rsid w:val="001A1D2D"/>
    <w:rsid w:val="001B5062"/>
    <w:rsid w:val="00215557"/>
    <w:rsid w:val="00233FB5"/>
    <w:rsid w:val="00244458"/>
    <w:rsid w:val="002B5D8C"/>
    <w:rsid w:val="00486F45"/>
    <w:rsid w:val="00496883"/>
    <w:rsid w:val="00540EC0"/>
    <w:rsid w:val="00570DEC"/>
    <w:rsid w:val="005768FA"/>
    <w:rsid w:val="005D7FC6"/>
    <w:rsid w:val="005E1511"/>
    <w:rsid w:val="006A68FB"/>
    <w:rsid w:val="006D2819"/>
    <w:rsid w:val="006F07FA"/>
    <w:rsid w:val="007D0DED"/>
    <w:rsid w:val="007D3797"/>
    <w:rsid w:val="009544E2"/>
    <w:rsid w:val="009E17C9"/>
    <w:rsid w:val="00AA5EBA"/>
    <w:rsid w:val="00AC3B9D"/>
    <w:rsid w:val="00AD6A56"/>
    <w:rsid w:val="00AE2CE2"/>
    <w:rsid w:val="00B43C10"/>
    <w:rsid w:val="00C64A5C"/>
    <w:rsid w:val="00C86867"/>
    <w:rsid w:val="00C90C0D"/>
    <w:rsid w:val="00CE1DC6"/>
    <w:rsid w:val="00D53127"/>
    <w:rsid w:val="00DA7940"/>
    <w:rsid w:val="00DE37D2"/>
    <w:rsid w:val="00DF5AC7"/>
    <w:rsid w:val="00E42F8A"/>
    <w:rsid w:val="00ED172B"/>
    <w:rsid w:val="00F1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708E"/>
  <w15:chartTrackingRefBased/>
  <w15:docId w15:val="{9BDD2D09-8D5B-4F0C-8493-40591B65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1"/>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table" w:styleId="TableGrid">
    <w:name w:val="Table Grid"/>
    <w:basedOn w:val="TableNormal"/>
    <w:uiPriority w:val="39"/>
    <w:rsid w:val="00153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4E3A"/>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F14E3A"/>
    <w:rPr>
      <w:color w:val="0000FF"/>
      <w:u w:val="single"/>
    </w:rPr>
  </w:style>
  <w:style w:type="paragraph" w:styleId="BodyText">
    <w:name w:val="Body Text"/>
    <w:basedOn w:val="Normal"/>
    <w:link w:val="BodyTextChar"/>
    <w:uiPriority w:val="1"/>
    <w:qFormat/>
    <w:rsid w:val="009544E2"/>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9544E2"/>
    <w:rPr>
      <w:rFonts w:ascii="Arial" w:eastAsia="Arial" w:hAnsi="Arial" w:cs="Arial"/>
      <w:sz w:val="24"/>
      <w:szCs w:val="24"/>
    </w:rPr>
  </w:style>
  <w:style w:type="character" w:styleId="UnresolvedMention">
    <w:name w:val="Unresolved Mention"/>
    <w:basedOn w:val="DefaultParagraphFont"/>
    <w:uiPriority w:val="99"/>
    <w:semiHidden/>
    <w:unhideWhenUsed/>
    <w:rsid w:val="009544E2"/>
    <w:rPr>
      <w:color w:val="605E5C"/>
      <w:shd w:val="clear" w:color="auto" w:fill="E1DFDD"/>
    </w:rPr>
  </w:style>
  <w:style w:type="paragraph" w:customStyle="1" w:styleId="TableParagraph">
    <w:name w:val="Table Paragraph"/>
    <w:basedOn w:val="Normal"/>
    <w:uiPriority w:val="1"/>
    <w:qFormat/>
    <w:rsid w:val="00D53127"/>
    <w:pPr>
      <w:widowControl w:val="0"/>
      <w:autoSpaceDE w:val="0"/>
      <w:autoSpaceDN w:val="0"/>
      <w:ind w:left="107"/>
    </w:pPr>
    <w:rPr>
      <w:rFonts w:ascii="Arial" w:eastAsia="Arial" w:hAnsi="Arial" w:cs="Arial"/>
      <w:sz w:val="22"/>
      <w:szCs w:val="22"/>
    </w:rPr>
  </w:style>
  <w:style w:type="paragraph" w:customStyle="1" w:styleId="paragraph">
    <w:name w:val="paragraph"/>
    <w:basedOn w:val="Normal"/>
    <w:rsid w:val="005E1511"/>
    <w:pPr>
      <w:suppressAutoHyphens/>
      <w:autoSpaceDN w:val="0"/>
      <w:spacing w:before="100" w:after="100"/>
    </w:pPr>
    <w:rPr>
      <w:rFonts w:ascii="Times New Roman" w:eastAsia="Times New Roman" w:hAnsi="Times New Roman"/>
      <w:lang w:eastAsia="en-GB"/>
    </w:rPr>
  </w:style>
  <w:style w:type="character" w:customStyle="1" w:styleId="normaltextrun">
    <w:name w:val="normaltextrun"/>
    <w:basedOn w:val="DefaultParagraphFont"/>
    <w:rsid w:val="005E1511"/>
  </w:style>
  <w:style w:type="character" w:customStyle="1" w:styleId="eop">
    <w:name w:val="eop"/>
    <w:basedOn w:val="DefaultParagraphFont"/>
    <w:rsid w:val="005E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8300">
      <w:bodyDiv w:val="1"/>
      <w:marLeft w:val="0"/>
      <w:marRight w:val="0"/>
      <w:marTop w:val="0"/>
      <w:marBottom w:val="0"/>
      <w:divBdr>
        <w:top w:val="none" w:sz="0" w:space="0" w:color="auto"/>
        <w:left w:val="none" w:sz="0" w:space="0" w:color="auto"/>
        <w:bottom w:val="none" w:sz="0" w:space="0" w:color="auto"/>
        <w:right w:val="none" w:sz="0" w:space="0" w:color="auto"/>
      </w:divBdr>
    </w:div>
    <w:div w:id="271933763">
      <w:bodyDiv w:val="1"/>
      <w:marLeft w:val="0"/>
      <w:marRight w:val="0"/>
      <w:marTop w:val="0"/>
      <w:marBottom w:val="0"/>
      <w:divBdr>
        <w:top w:val="none" w:sz="0" w:space="0" w:color="auto"/>
        <w:left w:val="none" w:sz="0" w:space="0" w:color="auto"/>
        <w:bottom w:val="none" w:sz="0" w:space="0" w:color="auto"/>
        <w:right w:val="none" w:sz="0" w:space="0" w:color="auto"/>
      </w:divBdr>
    </w:div>
    <w:div w:id="5891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protectionpartnership.org.uk/media/2420/bracknell-forest-statement-of-gambling-principles-january-2022.pdf" TargetMode="External"/><Relationship Id="rId13" Type="http://schemas.openxmlformats.org/officeDocument/2006/relationships/image" Target="cid:image005.jpg@01D82277.8D7AD680" TargetMode="External"/><Relationship Id="rId3" Type="http://schemas.openxmlformats.org/officeDocument/2006/relationships/settings" Target="settings.xml"/><Relationship Id="rId7" Type="http://schemas.openxmlformats.org/officeDocument/2006/relationships/hyperlink" Target="https://www.legislation.gov.uk/ukpga/2005/19/section/349"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81838.559E42E0" TargetMode="External"/><Relationship Id="rId11" Type="http://schemas.openxmlformats.org/officeDocument/2006/relationships/hyperlink" Target="https://democratic.bracknell-forest.gov.uk/ieListDocuments.aspx?CId=141&amp;MId=13711&amp;Ver=4"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emocratic.bracknell-forest.gov.uk/ieListDocuments.aspx?CId=148&amp;MId=14278&amp;Ver=4" TargetMode="External"/><Relationship Id="rId4" Type="http://schemas.openxmlformats.org/officeDocument/2006/relationships/webSettings" Target="webSettings.xml"/><Relationship Id="rId9" Type="http://schemas.openxmlformats.org/officeDocument/2006/relationships/hyperlink" Target="https://www.westminster.gov.uk/licensing/licensing-policy-and-strategy/local-area-profile-gambling-ri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Fraser</dc:creator>
  <cp:keywords/>
  <dc:description/>
  <cp:lastModifiedBy>Moira Fraser</cp:lastModifiedBy>
  <cp:revision>3</cp:revision>
  <dcterms:created xsi:type="dcterms:W3CDTF">2024-12-19T21:42:00Z</dcterms:created>
  <dcterms:modified xsi:type="dcterms:W3CDTF">2024-12-19T22:13:00Z</dcterms:modified>
</cp:coreProperties>
</file>